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22"/>
        </w:rPr>
      </w:pPr>
    </w:p>
    <w:p>
      <w:pPr>
        <w:pStyle w:val="2"/>
        <w:spacing w:before="69"/>
        <w:ind w:left="115"/>
        <w:rPr>
          <w:rFonts w:hint="eastAsia" w:ascii="Times New Roman" w:eastAsia="宋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15"/>
        </w:rPr>
      </w:pPr>
    </w:p>
    <w:p>
      <w:pPr>
        <w:spacing w:before="48"/>
        <w:ind w:left="1037" w:right="1052" w:firstLine="0"/>
        <w:jc w:val="center"/>
        <w:rPr>
          <w:sz w:val="40"/>
        </w:rPr>
      </w:pPr>
      <w:r>
        <w:rPr>
          <w:sz w:val="40"/>
        </w:rPr>
        <w:t>国家级零碳园区建设指标体系（试行）</w:t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6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957"/>
        <w:gridCol w:w="3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63" w:type="dxa"/>
          </w:tcPr>
          <w:p>
            <w:pPr>
              <w:pStyle w:val="7"/>
              <w:spacing w:before="126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指标类型</w:t>
            </w:r>
          </w:p>
        </w:tc>
        <w:tc>
          <w:tcPr>
            <w:tcW w:w="3957" w:type="dxa"/>
          </w:tcPr>
          <w:p>
            <w:pPr>
              <w:pStyle w:val="7"/>
              <w:spacing w:before="126"/>
              <w:ind w:left="287" w:right="259"/>
              <w:rPr>
                <w:sz w:val="28"/>
              </w:rPr>
            </w:pPr>
            <w:r>
              <w:rPr>
                <w:sz w:val="28"/>
              </w:rPr>
              <w:t>指标名称</w:t>
            </w:r>
          </w:p>
        </w:tc>
        <w:tc>
          <w:tcPr>
            <w:tcW w:w="3368" w:type="dxa"/>
          </w:tcPr>
          <w:p>
            <w:pPr>
              <w:pStyle w:val="7"/>
              <w:spacing w:before="126"/>
              <w:ind w:left="241" w:right="209"/>
              <w:rPr>
                <w:sz w:val="28"/>
              </w:rPr>
            </w:pPr>
            <w:r>
              <w:rPr>
                <w:sz w:val="28"/>
              </w:rPr>
              <w:t>目标要求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363" w:type="dxa"/>
            <w:vMerge w:val="restart"/>
          </w:tcPr>
          <w:p>
            <w:pPr>
              <w:pStyle w:val="7"/>
              <w:jc w:val="left"/>
              <w:rPr>
                <w:sz w:val="30"/>
              </w:rPr>
            </w:pPr>
          </w:p>
          <w:p>
            <w:pPr>
              <w:pStyle w:val="7"/>
              <w:jc w:val="left"/>
              <w:rPr>
                <w:sz w:val="30"/>
              </w:rPr>
            </w:pPr>
          </w:p>
          <w:p>
            <w:pPr>
              <w:pStyle w:val="7"/>
              <w:spacing w:before="12"/>
              <w:jc w:val="left"/>
              <w:rPr>
                <w:sz w:val="36"/>
              </w:rPr>
            </w:pPr>
          </w:p>
          <w:p>
            <w:pPr>
              <w:pStyle w:val="7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核心指标</w:t>
            </w:r>
          </w:p>
        </w:tc>
        <w:tc>
          <w:tcPr>
            <w:tcW w:w="3957" w:type="dxa"/>
            <w:vMerge w:val="restart"/>
          </w:tcPr>
          <w:p>
            <w:pPr>
              <w:pStyle w:val="7"/>
              <w:jc w:val="left"/>
              <w:rPr>
                <w:sz w:val="30"/>
              </w:rPr>
            </w:pPr>
          </w:p>
          <w:p>
            <w:pPr>
              <w:pStyle w:val="7"/>
              <w:jc w:val="left"/>
              <w:rPr>
                <w:sz w:val="30"/>
              </w:rPr>
            </w:pPr>
          </w:p>
          <w:p>
            <w:pPr>
              <w:pStyle w:val="7"/>
              <w:spacing w:before="12"/>
              <w:jc w:val="left"/>
              <w:rPr>
                <w:sz w:val="36"/>
              </w:rPr>
            </w:pPr>
          </w:p>
          <w:p>
            <w:pPr>
              <w:pStyle w:val="7"/>
              <w:ind w:left="1074"/>
              <w:jc w:val="left"/>
              <w:rPr>
                <w:sz w:val="28"/>
              </w:rPr>
            </w:pPr>
            <w:r>
              <w:rPr>
                <w:sz w:val="28"/>
              </w:rPr>
              <w:t>单位能耗碳排放</w:t>
            </w:r>
          </w:p>
        </w:tc>
        <w:tc>
          <w:tcPr>
            <w:tcW w:w="3368" w:type="dxa"/>
          </w:tcPr>
          <w:p>
            <w:pPr>
              <w:pStyle w:val="7"/>
              <w:spacing w:before="86"/>
              <w:ind w:left="241" w:right="209"/>
              <w:rPr>
                <w:sz w:val="28"/>
              </w:rPr>
            </w:pPr>
            <w:r>
              <w:rPr>
                <w:sz w:val="28"/>
              </w:rPr>
              <w:t>≤</w:t>
            </w:r>
            <w:r>
              <w:rPr>
                <w:rFonts w:ascii="Times New Roman" w:hAnsi="Times New Roman" w:eastAsia="Times New Roman"/>
                <w:sz w:val="28"/>
              </w:rPr>
              <w:t xml:space="preserve">0.2 </w:t>
            </w:r>
            <w:r>
              <w:rPr>
                <w:sz w:val="28"/>
              </w:rPr>
              <w:t>吨</w:t>
            </w:r>
            <w:r>
              <w:rPr>
                <w:rFonts w:ascii="Times New Roman" w:hAnsi="Times New Roman" w:eastAsia="Times New Roman"/>
                <w:sz w:val="28"/>
              </w:rPr>
              <w:t>/</w:t>
            </w:r>
            <w:r>
              <w:rPr>
                <w:sz w:val="28"/>
              </w:rPr>
              <w:t>吨标准煤</w:t>
            </w:r>
          </w:p>
          <w:p>
            <w:pPr>
              <w:pStyle w:val="7"/>
              <w:spacing w:before="14" w:line="460" w:lineRule="exact"/>
              <w:ind w:left="244" w:right="209"/>
              <w:rPr>
                <w:sz w:val="22"/>
              </w:rPr>
            </w:pPr>
            <w:r>
              <w:rPr>
                <w:spacing w:val="-25"/>
                <w:sz w:val="22"/>
              </w:rPr>
              <w:t>（</w:t>
            </w:r>
            <w:r>
              <w:rPr>
                <w:spacing w:val="-19"/>
                <w:sz w:val="22"/>
              </w:rPr>
              <w:t>年综合能源消费量</w:t>
            </w:r>
            <w:r>
              <w:rPr>
                <w:rFonts w:ascii="Times New Roman" w:eastAsia="Times New Roman"/>
                <w:spacing w:val="-10"/>
                <w:sz w:val="22"/>
              </w:rPr>
              <w:t xml:space="preserve">20~100 </w:t>
            </w:r>
            <w:r>
              <w:rPr>
                <w:spacing w:val="-13"/>
                <w:sz w:val="22"/>
              </w:rPr>
              <w:t>万吨</w:t>
            </w:r>
            <w:r>
              <w:rPr>
                <w:spacing w:val="-25"/>
                <w:sz w:val="22"/>
              </w:rPr>
              <w:t>标准煤的园区</w:t>
            </w:r>
            <w:r>
              <w:rPr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7"/>
              <w:spacing w:before="88"/>
              <w:ind w:left="241" w:right="209"/>
              <w:rPr>
                <w:sz w:val="28"/>
              </w:rPr>
            </w:pPr>
            <w:r>
              <w:rPr>
                <w:sz w:val="28"/>
              </w:rPr>
              <w:t>≤</w:t>
            </w:r>
            <w:r>
              <w:rPr>
                <w:rFonts w:ascii="Times New Roman" w:hAnsi="Times New Roman" w:eastAsia="Times New Roman"/>
                <w:sz w:val="28"/>
              </w:rPr>
              <w:t xml:space="preserve">0.3 </w:t>
            </w:r>
            <w:r>
              <w:rPr>
                <w:sz w:val="28"/>
              </w:rPr>
              <w:t>吨</w:t>
            </w:r>
            <w:r>
              <w:rPr>
                <w:rFonts w:ascii="Times New Roman" w:hAnsi="Times New Roman" w:eastAsia="Times New Roman"/>
                <w:sz w:val="28"/>
              </w:rPr>
              <w:t>/</w:t>
            </w:r>
            <w:r>
              <w:rPr>
                <w:sz w:val="28"/>
              </w:rPr>
              <w:t>吨标准煤</w:t>
            </w:r>
          </w:p>
          <w:p>
            <w:pPr>
              <w:pStyle w:val="7"/>
              <w:spacing w:before="11" w:line="460" w:lineRule="exact"/>
              <w:ind w:left="321" w:right="291"/>
              <w:rPr>
                <w:sz w:val="22"/>
              </w:rPr>
            </w:pPr>
            <w:r>
              <w:rPr>
                <w:spacing w:val="-22"/>
                <w:sz w:val="22"/>
              </w:rPr>
              <w:t>（</w:t>
            </w:r>
            <w:r>
              <w:rPr>
                <w:spacing w:val="-24"/>
                <w:sz w:val="22"/>
              </w:rPr>
              <w:t>年综合能源消费量≥</w:t>
            </w:r>
            <w:r>
              <w:rPr>
                <w:rFonts w:ascii="Times New Roman" w:hAnsi="Times New Roman" w:eastAsia="Times New Roman"/>
                <w:spacing w:val="-12"/>
                <w:sz w:val="22"/>
              </w:rPr>
              <w:t xml:space="preserve">100 </w:t>
            </w:r>
            <w:r>
              <w:rPr>
                <w:spacing w:val="-13"/>
                <w:sz w:val="22"/>
              </w:rPr>
              <w:t>万吨</w:t>
            </w:r>
            <w:r>
              <w:rPr>
                <w:spacing w:val="-25"/>
                <w:sz w:val="22"/>
              </w:rPr>
              <w:t>标准煤的园区</w:t>
            </w:r>
            <w:r>
              <w:rPr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63" w:type="dxa"/>
            <w:vMerge w:val="restart"/>
          </w:tcPr>
          <w:p>
            <w:pPr>
              <w:pStyle w:val="7"/>
              <w:jc w:val="left"/>
              <w:rPr>
                <w:sz w:val="30"/>
              </w:rPr>
            </w:pPr>
          </w:p>
          <w:p>
            <w:pPr>
              <w:pStyle w:val="7"/>
              <w:jc w:val="left"/>
              <w:rPr>
                <w:sz w:val="30"/>
              </w:rPr>
            </w:pPr>
          </w:p>
          <w:p>
            <w:pPr>
              <w:pStyle w:val="7"/>
              <w:spacing w:before="10"/>
              <w:jc w:val="left"/>
              <w:rPr>
                <w:sz w:val="35"/>
              </w:rPr>
            </w:pPr>
          </w:p>
          <w:p>
            <w:pPr>
              <w:pStyle w:val="7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引导指标</w:t>
            </w:r>
          </w:p>
        </w:tc>
        <w:tc>
          <w:tcPr>
            <w:tcW w:w="3957" w:type="dxa"/>
          </w:tcPr>
          <w:p>
            <w:pPr>
              <w:pStyle w:val="7"/>
              <w:spacing w:before="126"/>
              <w:ind w:left="287" w:right="259"/>
              <w:rPr>
                <w:sz w:val="28"/>
              </w:rPr>
            </w:pPr>
            <w:r>
              <w:rPr>
                <w:sz w:val="28"/>
              </w:rPr>
              <w:t>清洁能源消费占比</w:t>
            </w:r>
          </w:p>
        </w:tc>
        <w:tc>
          <w:tcPr>
            <w:tcW w:w="3368" w:type="dxa"/>
          </w:tcPr>
          <w:p>
            <w:pPr>
              <w:pStyle w:val="7"/>
              <w:spacing w:before="126"/>
              <w:ind w:left="228" w:right="209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>
            <w:pPr>
              <w:pStyle w:val="7"/>
              <w:spacing w:before="129"/>
              <w:ind w:left="287" w:right="259"/>
              <w:rPr>
                <w:sz w:val="28"/>
              </w:rPr>
            </w:pPr>
            <w:r>
              <w:rPr>
                <w:sz w:val="28"/>
              </w:rPr>
              <w:t>园区企业产出产品单位能耗</w:t>
            </w:r>
          </w:p>
        </w:tc>
        <w:tc>
          <w:tcPr>
            <w:tcW w:w="3368" w:type="dxa"/>
          </w:tcPr>
          <w:p>
            <w:pPr>
              <w:pStyle w:val="7"/>
              <w:spacing w:before="129"/>
              <w:ind w:left="38" w:right="3"/>
              <w:rPr>
                <w:sz w:val="28"/>
              </w:rPr>
            </w:pPr>
            <w:r>
              <w:rPr>
                <w:w w:val="90"/>
                <w:sz w:val="28"/>
              </w:rPr>
              <w:t>达到或优于二级能耗限额标准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>
            <w:pPr>
              <w:pStyle w:val="7"/>
              <w:spacing w:before="127"/>
              <w:ind w:left="287" w:right="259"/>
              <w:rPr>
                <w:sz w:val="28"/>
              </w:rPr>
            </w:pPr>
            <w:r>
              <w:rPr>
                <w:sz w:val="28"/>
              </w:rPr>
              <w:t>工业固体废弃物综合利用率</w:t>
            </w:r>
          </w:p>
        </w:tc>
        <w:tc>
          <w:tcPr>
            <w:tcW w:w="3368" w:type="dxa"/>
          </w:tcPr>
          <w:p>
            <w:pPr>
              <w:pStyle w:val="7"/>
              <w:spacing w:before="127"/>
              <w:ind w:left="228" w:right="209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>
            <w:pPr>
              <w:pStyle w:val="7"/>
              <w:spacing w:before="125"/>
              <w:ind w:left="287" w:right="257"/>
              <w:rPr>
                <w:sz w:val="28"/>
              </w:rPr>
            </w:pPr>
            <w:r>
              <w:rPr>
                <w:sz w:val="28"/>
              </w:rPr>
              <w:t>余热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余冷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余压综合利用率</w:t>
            </w:r>
          </w:p>
        </w:tc>
        <w:tc>
          <w:tcPr>
            <w:tcW w:w="3368" w:type="dxa"/>
          </w:tcPr>
          <w:p>
            <w:pPr>
              <w:pStyle w:val="7"/>
              <w:spacing w:before="125"/>
              <w:ind w:left="228" w:right="209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>
            <w:pPr>
              <w:pStyle w:val="7"/>
              <w:spacing w:before="125"/>
              <w:ind w:left="287" w:right="254"/>
              <w:rPr>
                <w:sz w:val="28"/>
              </w:rPr>
            </w:pPr>
            <w:r>
              <w:rPr>
                <w:sz w:val="28"/>
              </w:rPr>
              <w:t>工业用水重复利用率</w:t>
            </w:r>
          </w:p>
        </w:tc>
        <w:tc>
          <w:tcPr>
            <w:tcW w:w="3368" w:type="dxa"/>
          </w:tcPr>
          <w:p>
            <w:pPr>
              <w:pStyle w:val="7"/>
              <w:spacing w:before="125"/>
              <w:ind w:left="228" w:right="209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>80%</w:t>
            </w:r>
          </w:p>
        </w:tc>
      </w:tr>
    </w:tbl>
    <w:p>
      <w:pPr>
        <w:pStyle w:val="2"/>
        <w:spacing w:before="10"/>
        <w:rPr>
          <w:sz w:val="7"/>
        </w:rPr>
      </w:pPr>
    </w:p>
    <w:p>
      <w:pPr>
        <w:pStyle w:val="2"/>
        <w:spacing w:before="69"/>
        <w:ind w:left="715"/>
      </w:pPr>
      <w:r>
        <w:t>一、指标类型说明</w:t>
      </w:r>
    </w:p>
    <w:p>
      <w:pPr>
        <w:pStyle w:val="2"/>
        <w:spacing w:before="206" w:line="367" w:lineRule="auto"/>
        <w:ind w:left="115" w:right="134" w:firstLine="599"/>
        <w:jc w:val="both"/>
      </w:pPr>
      <w:r>
        <w:rPr>
          <w:spacing w:val="-5"/>
        </w:rPr>
        <w:t>核心指标：零碳园区建设必须达到的目标，是园区验收评估的首要条件，按照园区年综合能耗规模分为两类。达不到核心指标要</w:t>
      </w:r>
      <w:r>
        <w:t>求的园区，原则上不得申请验收。</w:t>
      </w:r>
    </w:p>
    <w:p>
      <w:pPr>
        <w:pStyle w:val="2"/>
        <w:spacing w:line="367" w:lineRule="auto"/>
        <w:ind w:left="115" w:right="134" w:firstLine="599"/>
        <w:jc w:val="both"/>
      </w:pPr>
      <w:r>
        <w:rPr>
          <w:spacing w:val="-5"/>
        </w:rPr>
        <w:t>引导指标：在零碳园区建设过程中发挥路径引导作用，同时也</w:t>
      </w:r>
      <w:r>
        <w:rPr>
          <w:spacing w:val="-4"/>
        </w:rPr>
        <w:t>作为园区验收的参考指标。由于客观条件不具备开展相关工作的园</w:t>
      </w:r>
      <w:r>
        <w:t>区，可在申报材料中说明原因，相关指标将不纳入验收要求。</w:t>
      </w:r>
    </w:p>
    <w:p>
      <w:pPr>
        <w:spacing w:after="0" w:line="367" w:lineRule="auto"/>
        <w:jc w:val="both"/>
        <w:sectPr>
          <w:type w:val="continuous"/>
          <w:pgSz w:w="11910" w:h="16840"/>
          <w:pgMar w:top="1580" w:right="1480" w:bottom="280" w:left="15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18"/>
        </w:rPr>
      </w:pPr>
    </w:p>
    <w:p>
      <w:pPr>
        <w:pStyle w:val="2"/>
        <w:spacing w:before="68"/>
        <w:ind w:left="715"/>
      </w:pPr>
      <w:r>
        <w:t>二、部分指标解释</w:t>
      </w:r>
    </w:p>
    <w:p>
      <w:pPr>
        <w:pStyle w:val="6"/>
        <w:numPr>
          <w:ilvl w:val="0"/>
          <w:numId w:val="1"/>
        </w:numPr>
        <w:tabs>
          <w:tab w:val="left" w:pos="1168"/>
        </w:tabs>
        <w:spacing w:before="204" w:after="0" w:line="367" w:lineRule="auto"/>
        <w:ind w:left="115" w:right="132" w:firstLine="599"/>
        <w:jc w:val="both"/>
        <w:rPr>
          <w:sz w:val="30"/>
        </w:rPr>
      </w:pPr>
      <w:r>
        <w:rPr>
          <w:spacing w:val="3"/>
          <w:sz w:val="30"/>
        </w:rPr>
        <w:t>年综合能源消费量：指园区范围内每年度实际消费的各类</w:t>
      </w:r>
      <w:r>
        <w:rPr>
          <w:spacing w:val="-8"/>
          <w:sz w:val="30"/>
        </w:rPr>
        <w:t>能源的总和，单位为“吨标准煤”。其中，电力消费能耗按照等价值计算。</w:t>
      </w:r>
    </w:p>
    <w:p>
      <w:pPr>
        <w:pStyle w:val="6"/>
        <w:numPr>
          <w:ilvl w:val="0"/>
          <w:numId w:val="1"/>
        </w:numPr>
        <w:tabs>
          <w:tab w:val="left" w:pos="1168"/>
        </w:tabs>
        <w:spacing w:before="0" w:after="0" w:line="367" w:lineRule="auto"/>
        <w:ind w:left="115" w:right="132" w:firstLine="599"/>
        <w:jc w:val="both"/>
        <w:rPr>
          <w:sz w:val="30"/>
        </w:rPr>
      </w:pPr>
      <w:r>
        <w:rPr>
          <w:spacing w:val="3"/>
          <w:sz w:val="30"/>
        </w:rPr>
        <w:t>单位能耗碳排放：指园区范围内每消费一吨标准煤产生的</w:t>
      </w:r>
      <w:r>
        <w:rPr>
          <w:spacing w:val="-2"/>
          <w:sz w:val="30"/>
        </w:rPr>
        <w:t>碳排放量。本通知所称碳排放仅指二氧化碳排放，不含非二氧化碳</w:t>
      </w:r>
      <w:r>
        <w:rPr>
          <w:sz w:val="30"/>
        </w:rPr>
        <w:t>温室气体。</w:t>
      </w:r>
    </w:p>
    <w:p>
      <w:pPr>
        <w:pStyle w:val="2"/>
        <w:spacing w:line="367" w:lineRule="auto"/>
        <w:ind w:left="115" w:right="134" w:firstLine="599"/>
        <w:jc w:val="both"/>
      </w:pPr>
      <w:r>
        <w:rPr>
          <w:spacing w:val="2"/>
        </w:rPr>
        <w:t>余热</w:t>
      </w:r>
      <w:r>
        <w:rPr>
          <w:rFonts w:ascii="Times New Roman" w:eastAsia="Times New Roman"/>
          <w:spacing w:val="5"/>
        </w:rPr>
        <w:t>/</w:t>
      </w:r>
      <w:r>
        <w:rPr>
          <w:spacing w:val="2"/>
        </w:rPr>
        <w:t>余冷</w:t>
      </w:r>
      <w:r>
        <w:rPr>
          <w:rFonts w:ascii="Times New Roman" w:eastAsia="Times New Roman"/>
          <w:spacing w:val="3"/>
        </w:rPr>
        <w:t>/</w:t>
      </w:r>
      <w:r>
        <w:t>余压综合利用率：用于衡量生产过程中对热能、冷</w:t>
      </w:r>
      <w:r>
        <w:rPr>
          <w:spacing w:val="-4"/>
        </w:rPr>
        <w:t>能和压力能的回收利用程度，综合利用率是三类能源综合利用率的</w:t>
      </w:r>
      <w:r>
        <w:t>加权平均值。</w:t>
      </w:r>
    </w:p>
    <w:sectPr>
      <w:pgSz w:w="11910" w:h="16840"/>
      <w:pgMar w:top="1580" w:right="1480" w:bottom="280" w:left="1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EBD57"/>
    <w:multiLevelType w:val="multilevel"/>
    <w:tmpl w:val="FD5EBD57"/>
    <w:lvl w:ilvl="0" w:tentative="0">
      <w:start w:val="1"/>
      <w:numFmt w:val="decimal"/>
      <w:lvlText w:val="%1."/>
      <w:lvlJc w:val="left"/>
      <w:pPr>
        <w:ind w:left="115" w:hanging="4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0" w:hanging="4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81" w:hanging="4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1" w:hanging="4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42" w:hanging="4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22" w:hanging="4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03" w:hanging="4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3" w:hanging="4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64" w:hanging="45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F5F0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5" w:right="132" w:firstLine="599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2025-07-11T11:48:00Z</dcterms:created>
  <dc:creator>user</dc:creator>
  <cp:lastModifiedBy>admin1</cp:lastModifiedBy>
  <dcterms:modified xsi:type="dcterms:W3CDTF">2025-07-30T11:35:07Z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2025-07-11T00:00:00Z</vt:filetime>
  </property>
  <property fmtid="{D5CDD505-2E9C-101B-9397-08002B2CF9AE}" pid="5" name="KSOProductBuildVer">
    <vt:lpwstr>2052-11.8.2.1130</vt:lpwstr>
  </property>
  <property fmtid="{D5CDD505-2E9C-101B-9397-08002B2CF9AE}" pid="6" name="ICV">
    <vt:lpwstr>F96698B01B56019EEB928968B05C77B9</vt:lpwstr>
  </property>
</Properties>
</file>