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A9372">
      <w:pPr>
        <w:spacing w:line="560" w:lineRule="exact"/>
        <w:rPr>
          <w:rFonts w:ascii="仿宋_GB2312" w:hAnsi="仿宋" w:eastAsia="仿宋_GB2312"/>
          <w:color w:val="000000"/>
          <w:sz w:val="32"/>
        </w:rPr>
      </w:pPr>
      <w:r>
        <w:rPr>
          <w:rFonts w:hint="eastAsia" w:ascii="仿宋_GB2312" w:hAnsi="仿宋" w:eastAsia="仿宋_GB2312"/>
          <w:color w:val="000000"/>
          <w:sz w:val="32"/>
        </w:rPr>
        <w:t>附件2：</w:t>
      </w:r>
    </w:p>
    <w:p w14:paraId="3D3E9335">
      <w:pPr>
        <w:widowControl/>
        <w:spacing w:line="520" w:lineRule="exact"/>
        <w:jc w:val="center"/>
        <w:rPr>
          <w:rFonts w:ascii="黑体" w:eastAsia="黑体"/>
          <w:color w:val="000000"/>
          <w:sz w:val="36"/>
          <w:szCs w:val="36"/>
        </w:rPr>
      </w:pPr>
      <w:r>
        <w:rPr>
          <w:rFonts w:hint="eastAsia" w:ascii="黑体" w:hAnsi="华文中宋" w:eastAsia="黑体"/>
          <w:color w:val="000000"/>
          <w:sz w:val="36"/>
          <w:szCs w:val="36"/>
        </w:rPr>
        <w:t xml:space="preserve"> </w:t>
      </w:r>
      <w:r>
        <w:rPr>
          <w:rFonts w:hint="eastAsia" w:ascii="黑体" w:eastAsia="黑体"/>
          <w:color w:val="000000"/>
          <w:sz w:val="36"/>
          <w:szCs w:val="36"/>
        </w:rPr>
        <w:t>2025武汉企业100强暨中国企业500强填表说明</w:t>
      </w:r>
    </w:p>
    <w:p w14:paraId="78D271C0">
      <w:pPr>
        <w:spacing w:line="360" w:lineRule="exact"/>
        <w:jc w:val="center"/>
        <w:rPr>
          <w:rFonts w:ascii="华文中宋" w:hAnsi="华文中宋" w:eastAsia="华文中宋"/>
          <w:b/>
          <w:color w:val="000000"/>
          <w:sz w:val="24"/>
        </w:rPr>
      </w:pPr>
    </w:p>
    <w:p w14:paraId="791C9A22">
      <w:pPr>
        <w:spacing w:line="360" w:lineRule="exact"/>
        <w:ind w:right="-87" w:firstLine="480" w:firstLineChars="200"/>
        <w:rPr>
          <w:rFonts w:ascii="仿宋" w:hAnsi="仿宋" w:eastAsia="仿宋"/>
          <w:sz w:val="24"/>
        </w:rPr>
      </w:pPr>
      <w:r>
        <w:rPr>
          <w:rFonts w:hint="eastAsia" w:ascii="仿宋" w:hAnsi="仿宋" w:eastAsia="仿宋"/>
          <w:sz w:val="24"/>
        </w:rPr>
        <w:t>2025武汉企业100强（包括制造业、服务业企业100强）暨中国企业500强（包括制造业、服务业企业500强）申报表主要栏目填报说明如下：</w:t>
      </w:r>
    </w:p>
    <w:p w14:paraId="002E9520">
      <w:pPr>
        <w:spacing w:line="360" w:lineRule="exact"/>
        <w:ind w:right="-87" w:firstLine="482" w:firstLineChars="200"/>
        <w:rPr>
          <w:rFonts w:hint="eastAsia" w:ascii="仿宋" w:hAnsi="仿宋" w:eastAsia="仿宋"/>
          <w:sz w:val="24"/>
        </w:rPr>
      </w:pPr>
      <w:r>
        <w:rPr>
          <w:rFonts w:hint="eastAsia" w:ascii="仿宋" w:hAnsi="仿宋" w:eastAsia="仿宋"/>
          <w:b/>
          <w:sz w:val="24"/>
        </w:rPr>
        <w:t>一、企业性质栏：</w:t>
      </w:r>
      <w:r>
        <w:rPr>
          <w:rFonts w:hint="eastAsia" w:ascii="仿宋" w:hAnsi="仿宋" w:eastAsia="仿宋"/>
          <w:sz w:val="24"/>
        </w:rPr>
        <w:t>请从“国有”、“民营”两种性质中选一项打√。国有是指国有及国有控股企业,民营是指非国有企业，包括集体和私营企业等。</w:t>
      </w:r>
    </w:p>
    <w:p w14:paraId="0BC5EDCE">
      <w:pPr>
        <w:spacing w:line="360" w:lineRule="exact"/>
        <w:ind w:right="-87" w:firstLine="482" w:firstLineChars="200"/>
        <w:rPr>
          <w:rFonts w:hint="eastAsia" w:ascii="仿宋" w:hAnsi="仿宋" w:eastAsia="仿宋"/>
          <w:sz w:val="24"/>
        </w:rPr>
      </w:pPr>
      <w:r>
        <w:rPr>
          <w:rFonts w:hint="eastAsia" w:ascii="仿宋" w:hAnsi="仿宋" w:eastAsia="仿宋"/>
          <w:b/>
          <w:sz w:val="24"/>
        </w:rPr>
        <w:t>二、生产的产品或提供的服务栏：</w:t>
      </w:r>
      <w:r>
        <w:rPr>
          <w:rFonts w:hint="eastAsia" w:ascii="仿宋" w:hAnsi="仿宋" w:eastAsia="仿宋"/>
          <w:sz w:val="24"/>
        </w:rPr>
        <w:t>指企业生产的主要产品或提供的主要服务，按在营业收入的占比由大到小排列，最多不超过3项。(必须填写)</w:t>
      </w:r>
    </w:p>
    <w:p w14:paraId="136C6DEF">
      <w:pPr>
        <w:spacing w:line="360" w:lineRule="exact"/>
        <w:ind w:right="-87" w:firstLine="482" w:firstLineChars="200"/>
        <w:rPr>
          <w:rFonts w:hint="eastAsia" w:ascii="仿宋" w:hAnsi="仿宋" w:eastAsia="仿宋"/>
          <w:sz w:val="24"/>
        </w:rPr>
      </w:pPr>
      <w:r>
        <w:rPr>
          <w:rFonts w:hint="eastAsia" w:ascii="仿宋" w:hAnsi="仿宋" w:eastAsia="仿宋"/>
          <w:b/>
          <w:sz w:val="24"/>
        </w:rPr>
        <w:t>三、指标栏：</w:t>
      </w:r>
      <w:r>
        <w:rPr>
          <w:rFonts w:hint="eastAsia" w:ascii="仿宋" w:hAnsi="仿宋" w:eastAsia="仿宋"/>
          <w:sz w:val="24"/>
        </w:rPr>
        <w:t>所有指标均按企业合并财务报表的数据填报，</w:t>
      </w:r>
      <w:r>
        <w:rPr>
          <w:rFonts w:hint="eastAsia" w:ascii="仿宋" w:hAnsi="仿宋" w:eastAsia="仿宋"/>
          <w:b/>
          <w:sz w:val="24"/>
        </w:rPr>
        <w:t>金额单位：万元人民币。</w:t>
      </w:r>
      <w:r>
        <w:rPr>
          <w:rFonts w:hint="eastAsia" w:ascii="仿宋" w:hAnsi="仿宋" w:eastAsia="仿宋"/>
          <w:sz w:val="24"/>
        </w:rPr>
        <w:t>合并财务报表的合并范围应当以控制为基础予以确定。</w:t>
      </w:r>
    </w:p>
    <w:p w14:paraId="7764AD9B">
      <w:pPr>
        <w:spacing w:line="360" w:lineRule="exact"/>
        <w:ind w:right="-87" w:firstLine="482" w:firstLineChars="200"/>
        <w:rPr>
          <w:rFonts w:hint="eastAsia" w:ascii="仿宋" w:hAnsi="仿宋" w:eastAsia="仿宋"/>
          <w:b/>
          <w:sz w:val="24"/>
        </w:rPr>
      </w:pPr>
      <w:r>
        <w:rPr>
          <w:rFonts w:hint="eastAsia" w:ascii="仿宋" w:hAnsi="仿宋" w:eastAsia="仿宋"/>
          <w:b/>
          <w:sz w:val="24"/>
        </w:rPr>
        <w:t>营业收入：</w:t>
      </w:r>
      <w:r>
        <w:rPr>
          <w:rFonts w:hint="eastAsia" w:ascii="仿宋" w:hAnsi="仿宋" w:eastAsia="仿宋"/>
          <w:sz w:val="24"/>
        </w:rPr>
        <w:t>包括企业的所有收入，不含增值税，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14:paraId="52478692">
      <w:pPr>
        <w:spacing w:line="360" w:lineRule="exact"/>
        <w:ind w:right="-87" w:firstLine="482" w:firstLineChars="200"/>
        <w:rPr>
          <w:rFonts w:hint="eastAsia" w:ascii="仿宋" w:hAnsi="仿宋" w:eastAsia="仿宋"/>
          <w:b/>
          <w:sz w:val="24"/>
        </w:rPr>
      </w:pPr>
      <w:r>
        <w:rPr>
          <w:rFonts w:hint="eastAsia" w:ascii="仿宋" w:hAnsi="仿宋" w:eastAsia="仿宋"/>
          <w:b/>
          <w:sz w:val="24"/>
        </w:rPr>
        <w:t>利润总额：</w:t>
      </w:r>
      <w:r>
        <w:rPr>
          <w:rFonts w:hint="eastAsia" w:ascii="仿宋" w:hAnsi="仿宋" w:eastAsia="仿宋"/>
          <w:sz w:val="24"/>
        </w:rPr>
        <w:t>所得税税前利润。</w:t>
      </w:r>
    </w:p>
    <w:p w14:paraId="1C18B955">
      <w:pPr>
        <w:spacing w:line="360" w:lineRule="exact"/>
        <w:ind w:right="-87" w:firstLine="482" w:firstLineChars="200"/>
        <w:rPr>
          <w:rFonts w:hint="eastAsia" w:ascii="仿宋" w:hAnsi="仿宋" w:eastAsia="仿宋"/>
          <w:sz w:val="24"/>
        </w:rPr>
      </w:pPr>
      <w:r>
        <w:rPr>
          <w:rFonts w:hint="eastAsia" w:ascii="仿宋" w:hAnsi="仿宋" w:eastAsia="仿宋"/>
          <w:b/>
          <w:sz w:val="24"/>
        </w:rPr>
        <w:t>净利润：</w:t>
      </w:r>
      <w:r>
        <w:rPr>
          <w:rFonts w:hint="eastAsia" w:ascii="仿宋" w:hAnsi="仿宋" w:eastAsia="仿宋"/>
          <w:sz w:val="24"/>
        </w:rPr>
        <w:t>利润总额扣除所得税。</w:t>
      </w:r>
    </w:p>
    <w:p w14:paraId="23B9BFCA">
      <w:pPr>
        <w:spacing w:line="360" w:lineRule="exact"/>
        <w:ind w:right="-87" w:firstLine="482" w:firstLineChars="200"/>
        <w:rPr>
          <w:rFonts w:hint="eastAsia" w:ascii="仿宋" w:hAnsi="仿宋" w:eastAsia="仿宋"/>
          <w:sz w:val="24"/>
        </w:rPr>
      </w:pPr>
      <w:r>
        <w:rPr>
          <w:rFonts w:hint="eastAsia" w:ascii="仿宋" w:hAnsi="仿宋" w:eastAsia="仿宋"/>
          <w:b/>
          <w:sz w:val="24"/>
        </w:rPr>
        <w:t>归属母公司所有者净利润：</w:t>
      </w:r>
      <w:r>
        <w:rPr>
          <w:rFonts w:hint="eastAsia" w:ascii="仿宋" w:hAnsi="仿宋" w:eastAsia="仿宋"/>
          <w:sz w:val="24"/>
        </w:rPr>
        <w:t>净利润扣除少数股东损益。</w:t>
      </w:r>
    </w:p>
    <w:p w14:paraId="4FAA4AB2">
      <w:pPr>
        <w:spacing w:line="360" w:lineRule="exact"/>
        <w:ind w:right="-87" w:firstLine="482" w:firstLineChars="200"/>
        <w:rPr>
          <w:rFonts w:hint="eastAsia" w:ascii="仿宋" w:hAnsi="仿宋" w:eastAsia="仿宋"/>
          <w:b/>
          <w:sz w:val="24"/>
        </w:rPr>
      </w:pPr>
      <w:r>
        <w:rPr>
          <w:rFonts w:hint="eastAsia" w:ascii="仿宋" w:hAnsi="仿宋" w:eastAsia="仿宋"/>
          <w:b/>
          <w:sz w:val="24"/>
        </w:rPr>
        <w:t>资产总额：</w:t>
      </w:r>
      <w:r>
        <w:rPr>
          <w:rFonts w:hint="eastAsia" w:ascii="仿宋" w:hAnsi="仿宋" w:eastAsia="仿宋"/>
          <w:sz w:val="24"/>
        </w:rPr>
        <w:t>年末的资产总额。</w:t>
      </w:r>
    </w:p>
    <w:p w14:paraId="6FEC2A5E">
      <w:pPr>
        <w:spacing w:line="360" w:lineRule="exact"/>
        <w:ind w:right="-87" w:firstLine="482" w:firstLineChars="200"/>
        <w:rPr>
          <w:rFonts w:hint="eastAsia" w:ascii="仿宋" w:hAnsi="仿宋" w:eastAsia="仿宋"/>
          <w:sz w:val="24"/>
        </w:rPr>
      </w:pPr>
      <w:r>
        <w:rPr>
          <w:rFonts w:hint="eastAsia" w:ascii="仿宋" w:hAnsi="仿宋" w:eastAsia="仿宋"/>
          <w:b/>
          <w:sz w:val="24"/>
        </w:rPr>
        <w:t>所有者权益：</w:t>
      </w:r>
      <w:r>
        <w:rPr>
          <w:rFonts w:hint="eastAsia" w:ascii="仿宋" w:hAnsi="仿宋" w:eastAsia="仿宋"/>
          <w:sz w:val="24"/>
        </w:rPr>
        <w:t>年末的所有者权益总额。</w:t>
      </w:r>
    </w:p>
    <w:p w14:paraId="7263CE1B">
      <w:pPr>
        <w:spacing w:line="360" w:lineRule="exact"/>
        <w:ind w:right="-87" w:firstLine="482" w:firstLineChars="200"/>
        <w:rPr>
          <w:rFonts w:hint="eastAsia" w:ascii="仿宋" w:hAnsi="仿宋" w:eastAsia="仿宋"/>
          <w:sz w:val="24"/>
        </w:rPr>
      </w:pPr>
      <w:r>
        <w:rPr>
          <w:rFonts w:hint="eastAsia" w:ascii="仿宋" w:hAnsi="仿宋" w:eastAsia="仿宋"/>
          <w:b/>
          <w:sz w:val="24"/>
        </w:rPr>
        <w:t>归属母公司所有者权益：</w:t>
      </w:r>
      <w:r>
        <w:rPr>
          <w:rFonts w:hint="eastAsia" w:ascii="仿宋" w:hAnsi="仿宋" w:eastAsia="仿宋"/>
          <w:sz w:val="24"/>
        </w:rPr>
        <w:t>所有者权益扣除少数股东权益。</w:t>
      </w:r>
    </w:p>
    <w:p w14:paraId="4D0A30B1">
      <w:pPr>
        <w:spacing w:line="360" w:lineRule="exact"/>
        <w:ind w:right="-87" w:firstLine="482" w:firstLineChars="200"/>
        <w:rPr>
          <w:rFonts w:hint="eastAsia" w:ascii="仿宋" w:hAnsi="仿宋" w:eastAsia="仿宋"/>
          <w:sz w:val="24"/>
        </w:rPr>
      </w:pPr>
      <w:r>
        <w:rPr>
          <w:rFonts w:hint="eastAsia" w:ascii="仿宋" w:hAnsi="仿宋" w:eastAsia="仿宋"/>
          <w:b/>
          <w:sz w:val="24"/>
        </w:rPr>
        <w:t>纳税总额：</w:t>
      </w:r>
      <w:r>
        <w:rPr>
          <w:rFonts w:hint="eastAsia" w:ascii="仿宋" w:hAnsi="仿宋" w:eastAsia="仿宋"/>
          <w:sz w:val="24"/>
        </w:rPr>
        <w:t>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14:paraId="411B1858">
      <w:pPr>
        <w:spacing w:line="360" w:lineRule="exact"/>
        <w:ind w:right="-87" w:firstLine="482" w:firstLineChars="200"/>
        <w:rPr>
          <w:rFonts w:hint="eastAsia" w:ascii="仿宋" w:hAnsi="仿宋" w:eastAsia="仿宋"/>
          <w:sz w:val="24"/>
        </w:rPr>
      </w:pPr>
      <w:r>
        <w:rPr>
          <w:rFonts w:hint="eastAsia" w:ascii="仿宋" w:hAnsi="仿宋" w:eastAsia="仿宋"/>
          <w:b/>
          <w:sz w:val="24"/>
        </w:rPr>
        <w:t>研发费用：</w:t>
      </w:r>
      <w:r>
        <w:rPr>
          <w:rFonts w:hint="eastAsia" w:ascii="仿宋" w:hAnsi="仿宋" w:eastAsia="仿宋"/>
          <w:sz w:val="24"/>
        </w:rPr>
        <w:t>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14:paraId="7194B2D9">
      <w:pPr>
        <w:spacing w:line="360" w:lineRule="exact"/>
        <w:ind w:right="-87" w:firstLine="482" w:firstLineChars="200"/>
        <w:rPr>
          <w:rFonts w:hint="eastAsia" w:ascii="仿宋" w:hAnsi="仿宋" w:eastAsia="仿宋"/>
          <w:sz w:val="24"/>
        </w:rPr>
      </w:pPr>
      <w:r>
        <w:rPr>
          <w:rFonts w:hint="eastAsia" w:ascii="仿宋" w:hAnsi="仿宋" w:eastAsia="仿宋"/>
          <w:b/>
          <w:sz w:val="24"/>
        </w:rPr>
        <w:t>员工总数：</w:t>
      </w:r>
      <w:r>
        <w:rPr>
          <w:rFonts w:hint="eastAsia" w:ascii="仿宋" w:hAnsi="仿宋" w:eastAsia="仿宋"/>
          <w:sz w:val="24"/>
        </w:rPr>
        <w:t>年度平均从业人数（含所有被合并报表企业的人数）。</w:t>
      </w:r>
    </w:p>
    <w:p w14:paraId="41F7571A">
      <w:pPr>
        <w:spacing w:line="360" w:lineRule="exact"/>
        <w:ind w:right="-87" w:firstLine="482" w:firstLineChars="200"/>
        <w:rPr>
          <w:rFonts w:hint="eastAsia" w:ascii="仿宋" w:hAnsi="仿宋" w:eastAsia="仿宋"/>
          <w:sz w:val="24"/>
        </w:rPr>
      </w:pPr>
      <w:r>
        <w:rPr>
          <w:rFonts w:hint="eastAsia" w:ascii="仿宋" w:hAnsi="仿宋" w:eastAsia="仿宋"/>
          <w:b/>
          <w:sz w:val="24"/>
        </w:rPr>
        <w:t>海外收入、海外资产、海外员工</w:t>
      </w:r>
      <w:r>
        <w:rPr>
          <w:rFonts w:hint="eastAsia" w:ascii="仿宋" w:hAnsi="仿宋" w:eastAsia="仿宋"/>
          <w:sz w:val="24"/>
        </w:rPr>
        <w:t>是指企业在中国大陆以外的营业收入、资产、员工。</w:t>
      </w:r>
      <w:r>
        <w:rPr>
          <w:rFonts w:hint="eastAsia" w:ascii="仿宋" w:hAnsi="仿宋" w:eastAsia="仿宋"/>
          <w:b/>
          <w:sz w:val="24"/>
        </w:rPr>
        <w:t>海外收入以平均汇率折算, 平均汇率：</w:t>
      </w:r>
      <w:r>
        <w:rPr>
          <w:rFonts w:hint="eastAsia" w:ascii="仿宋" w:hAnsi="仿宋" w:eastAsia="仿宋"/>
          <w:sz w:val="24"/>
        </w:rPr>
        <w:t xml:space="preserve"> 2023年为1美元=</w:t>
      </w:r>
      <w:r>
        <w:rPr>
          <w:rFonts w:ascii="仿宋" w:hAnsi="仿宋" w:eastAsia="仿宋"/>
          <w:sz w:val="24"/>
        </w:rPr>
        <w:t>7.0510</w:t>
      </w:r>
      <w:r>
        <w:rPr>
          <w:rFonts w:hint="eastAsia" w:ascii="仿宋" w:hAnsi="仿宋" w:eastAsia="仿宋"/>
          <w:sz w:val="24"/>
        </w:rPr>
        <w:t>元人民币，2024年为1美元=</w:t>
      </w:r>
      <w:r>
        <w:rPr>
          <w:rFonts w:ascii="仿宋" w:hAnsi="仿宋" w:eastAsia="仿宋"/>
          <w:sz w:val="24"/>
          <w:u w:val="single"/>
        </w:rPr>
        <w:t>7.1175</w:t>
      </w:r>
      <w:r>
        <w:rPr>
          <w:rFonts w:hint="eastAsia" w:ascii="仿宋" w:hAnsi="仿宋" w:eastAsia="仿宋"/>
          <w:sz w:val="24"/>
        </w:rPr>
        <w:t>元人民币；</w:t>
      </w:r>
      <w:r>
        <w:rPr>
          <w:rFonts w:hint="eastAsia" w:ascii="仿宋" w:hAnsi="仿宋" w:eastAsia="仿宋"/>
          <w:b/>
          <w:sz w:val="24"/>
        </w:rPr>
        <w:t>海外资产以年底汇率折算，年底汇率:</w:t>
      </w:r>
      <w:r>
        <w:rPr>
          <w:rFonts w:hint="eastAsia" w:ascii="仿宋" w:hAnsi="仿宋" w:eastAsia="仿宋"/>
          <w:sz w:val="24"/>
        </w:rPr>
        <w:t xml:space="preserve"> 2023年为1美元=</w:t>
      </w:r>
      <w:r>
        <w:rPr>
          <w:rFonts w:ascii="仿宋" w:hAnsi="仿宋" w:eastAsia="仿宋"/>
          <w:sz w:val="24"/>
        </w:rPr>
        <w:t>7.0827</w:t>
      </w:r>
      <w:r>
        <w:rPr>
          <w:rFonts w:hint="eastAsia" w:ascii="仿宋" w:hAnsi="仿宋" w:eastAsia="仿宋"/>
          <w:sz w:val="24"/>
        </w:rPr>
        <w:t>元人民币，2024年为1美元=</w:t>
      </w:r>
      <w:r>
        <w:rPr>
          <w:rFonts w:ascii="仿宋" w:hAnsi="仿宋" w:eastAsia="仿宋"/>
          <w:sz w:val="24"/>
        </w:rPr>
        <w:t>7.1884</w:t>
      </w:r>
      <w:r>
        <w:rPr>
          <w:rFonts w:hint="eastAsia" w:ascii="仿宋" w:hAnsi="仿宋" w:eastAsia="仿宋"/>
          <w:sz w:val="24"/>
        </w:rPr>
        <w:t>元人民币。</w:t>
      </w:r>
    </w:p>
    <w:p w14:paraId="3F3538DE">
      <w:pPr>
        <w:spacing w:line="360" w:lineRule="exact"/>
        <w:ind w:right="-87" w:firstLine="482" w:firstLineChars="200"/>
        <w:rPr>
          <w:rFonts w:hint="eastAsia" w:ascii="仿宋" w:hAnsi="仿宋" w:eastAsia="仿宋"/>
          <w:sz w:val="24"/>
        </w:rPr>
      </w:pPr>
      <w:r>
        <w:rPr>
          <w:rFonts w:hint="eastAsia" w:ascii="仿宋" w:hAnsi="仿宋" w:eastAsia="仿宋"/>
          <w:b/>
          <w:sz w:val="24"/>
        </w:rPr>
        <w:t>四、企业信息栏：</w:t>
      </w:r>
      <w:r>
        <w:rPr>
          <w:rFonts w:hint="eastAsia" w:ascii="仿宋" w:hAnsi="仿宋" w:eastAsia="仿宋"/>
          <w:sz w:val="24"/>
        </w:rPr>
        <w:t>请按照要求填写或打√。</w:t>
      </w:r>
    </w:p>
    <w:p w14:paraId="2EB68211">
      <w:pPr>
        <w:spacing w:line="360" w:lineRule="exact"/>
        <w:ind w:right="-87" w:firstLine="482" w:firstLineChars="200"/>
        <w:rPr>
          <w:rFonts w:hint="eastAsia" w:ascii="仿宋_GB2312" w:eastAsia="仿宋_GB2312"/>
          <w:b/>
          <w:sz w:val="24"/>
        </w:rPr>
      </w:pPr>
      <w:r>
        <w:rPr>
          <w:rFonts w:hint="eastAsia" w:ascii="仿宋" w:hAnsi="仿宋" w:eastAsia="仿宋"/>
          <w:b/>
          <w:sz w:val="24"/>
        </w:rPr>
        <w:t>五、所有填报栏目一定要完整，资料要仔细核对，保证名称及数据的准确性，并请签字、盖章。</w:t>
      </w:r>
    </w:p>
    <w:p w14:paraId="44CF71B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NjM4NWQxZTAzYzFiNDUyYTI1OWU2ODQyOGE0YmQifQ=="/>
  </w:docVars>
  <w:rsids>
    <w:rsidRoot w:val="00000000"/>
    <w:rsid w:val="257627BB"/>
    <w:rsid w:val="2EFD1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952</Words>
  <Characters>1005</Characters>
  <Lines>0</Lines>
  <Paragraphs>0</Paragraphs>
  <TotalTime>0</TotalTime>
  <ScaleCrop>false</ScaleCrop>
  <LinksUpToDate>false</LinksUpToDate>
  <CharactersWithSpaces>1010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2024-03-29T07:44:00Z</dcterms:created>
  <dc:creator>rx000026</dc:creator>
  <cp:lastModifiedBy>Lisa</cp:lastModifiedBy>
  <dcterms:modified xsi:type="dcterms:W3CDTF">2025-06-05T08:30:06Z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4C61D91AEE194347B6AD40C81D20C857_12</vt:lpwstr>
  </property>
  <property fmtid="{D5CDD505-2E9C-101B-9397-08002B2CF9AE}" pid="4" name="KSOTemplateDocerSaveRecord">
    <vt:lpwstr>eyJoZGlkIjoiMjRmMzA5ZTVlY2U3ODRmNzU2ZjE4YWVjODk3NDYzMTIiLCJ1c2VySWQiOiI3MDgwNTM2NTkifQ==</vt:lpwstr>
  </property>
</Properties>
</file>