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3780" w:firstLineChars="1800"/>
        <w:jc w:val="left"/>
        <w:textAlignment w:val="auto"/>
        <w:rPr>
          <w:rFonts w:hint="eastAsia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1115060</wp:posOffset>
            </wp:positionH>
            <wp:positionV relativeFrom="page">
              <wp:posOffset>1450975</wp:posOffset>
            </wp:positionV>
            <wp:extent cx="5629275" cy="714375"/>
            <wp:effectExtent l="0" t="0" r="9525" b="9525"/>
            <wp:wrapNone/>
            <wp:docPr id="2" name="图片 2" descr="TempHea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mpHead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left"/>
        <w:textAlignment w:val="auto"/>
        <w:rPr>
          <w:rFonts w:hint="eastAsia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right"/>
        <w:textAlignment w:val="auto"/>
        <w:rPr>
          <w:rFonts w:ascii="Times New Roman" w:hAnsi="Times New Roman" w:eastAsia="仿宋_GB2312" w:cs="Times New Roman"/>
          <w:color w:val="000000"/>
          <w:sz w:val="32"/>
          <w:szCs w:val="24"/>
        </w:rPr>
      </w:pPr>
      <w:bookmarkStart w:id="0" w:name="文号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鄂经信办函〔2022〕52号</w:t>
      </w:r>
      <w:bookmarkEnd w:id="0"/>
      <w:r>
        <w:rPr>
          <w:rFonts w:ascii="Times New Roman" w:hAnsi="Times New Roman" w:eastAsia="仿宋_GB2312" w:cs="Times New Roman"/>
          <w:color w:val="000000"/>
          <w:sz w:val="32"/>
          <w:szCs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spacing w:val="-10"/>
          <w:sz w:val="44"/>
          <w:szCs w:val="44"/>
        </w:rPr>
        <w:t>省经信厅办公室关于转发工信部第四批专精特新</w:t>
      </w: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“小巨人”企业培育和第一批专精特新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sz w:val="44"/>
          <w:szCs w:val="44"/>
        </w:rPr>
        <w:t>“小巨人”企业复核工作的通知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各市、州、直管市、神农架林区经信局：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根据《工业和信息化部办公厅关于开展第四批专精特新“小巨人”企业培育和第一批专精特新“小巨人”企业复核工作的通知》（工信厅企业函〔2022〕133号，以下简称《通知》）要求，省经信厅拟开展第四批专精特新“小巨人”企业推荐和第一批专精特新“小巨人”企业复核工作。现将《通知》转发各地，并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一、加强组织领导。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各市州经信部门要高度重视，增强工作主动性和精准性，把培育专精特新“小巨人”企业作为提高中小企业工作质量和水平的重点内容和有力抓手。建立专精特新“小巨人”企业培育工作专班，明确分管领导、责任处（科）室和责任人，分解落实工作责任，广泛发动，积极组织当地企业进行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二、做好跟踪服务。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将本次专精特新“小巨人”企业推荐工作作为“下基层、察民情、解民忧、暖民心”活动以及“解难题　稳增长　促发展”企业帮扶活动的具体实践，切实加强督促指导和跟踪服务，指导有申报需求且符合条件的专精特新中小企业精确填报，对企业申报材料要做到及时审核、严格把关，确保各项数据准确可靠。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三、有关要求。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请各市州经信部门于2022年6月29日前将加盖公章的正式推荐文件、第一批专精特新“小巨人”企业复核申请书及佐证材料纸质件（一式一份，将复核申请书及佐证材料合订成册）、第四批专精特新“小巨人”企业申请书（附件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）及佐证材料纸质件，推荐汇总表（附件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）、复核情况汇总表（附件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，以上均为一式三份，将其中一份申请书和佐证材料合订成册，附件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5可编辑的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电子版发送邮箱zxc87122161@163.com），邮寄省经信厅中小企业处。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联系人：周珊卉，电话：02787814061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地址：省经信厅中小企业发展处（武汉市武昌区水果湖东一路7号）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附件：1.工业和信息化部办公厅关于开展第四批专精特新“小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55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巨人”企业培育和第一批专精特新“小巨人”企业复核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55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2.第四批专精特新“小巨人”企业申请书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3.第一批专精特新“小巨人”企业复核申请书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4.第四批专精特新“小巨人”企业推荐汇总表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 xml:space="preserve"> 5.第一批专精特新“小巨人”企业复核情况汇总表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ascii="Times New Roman" w:hAnsi="Times New Roman" w:eastAsia="华文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left"/>
        <w:textAlignment w:val="auto"/>
        <w:outlineLvl w:val="0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湖北省经济和信息化厅办公室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outlineLvl w:val="0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2022年6月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17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华文仿宋" w:cs="Times New Roman"/>
          <w:color w:val="000000"/>
          <w:sz w:val="32"/>
          <w:szCs w:val="32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EE208"/>
    <w:rsid w:val="FB6EE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2022-06-17T19:50:00Z</dcterms:created>
  <dc:creator>ttt</dc:creator>
  <cp:lastModifiedBy>ttt</cp:lastModifiedBy>
  <dcterms:modified xsi:type="dcterms:W3CDTF">2022-06-17T19:51:46Z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