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企业及项目基本情况介绍提纲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一、企业简介</w:t>
      </w:r>
    </w:p>
    <w:p>
      <w:pPr>
        <w:ind w:left="481" w:leftChars="229"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二、项目基本情况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（一）项目计划情况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、项目背景、概况；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、建设</w:t>
      </w:r>
      <w:r>
        <w:rPr>
          <w:rFonts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内容、</w:t>
      </w:r>
      <w:r>
        <w:rPr>
          <w:rFonts w:hint="eastAsia" w:ascii="仿宋_GB2312" w:eastAsia="仿宋_GB2312"/>
          <w:sz w:val="32"/>
          <w:szCs w:val="32"/>
        </w:rPr>
        <w:t>规模与产品方案，主要技术经济指标、主要结论及建议；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、项目实施计划安排（包括计划开工、完工时间）；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、项目投资估算与建设资金（融资）方案；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5、项目建设地点等相关情况；</w:t>
      </w:r>
    </w:p>
    <w:p>
      <w:pPr>
        <w:ind w:firstLine="595" w:firstLineChars="1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项目建设预期经济及社会效益</w:t>
      </w:r>
      <w:r>
        <w:rPr>
          <w:rFonts w:hint="eastAsia"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（二）项目建设进展情况：着重说明项目从开工至今建设形象进度情况，20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年1月1日至20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年12月31日项目建设主要内容及投资完成情况。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04034"/>
    <w:rsid w:val="7C1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2021-08-13T09:26:00Z</dcterms:created>
  <dc:creator>kjj</dc:creator>
  <cp:lastModifiedBy>kjj</cp:lastModifiedBy>
  <dcterms:modified xsi:type="dcterms:W3CDTF">2021-08-13T09:27:08Z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23F0E6ED51134C5D999B8122913E7D22</vt:lpwstr>
  </property>
</Properties>
</file>