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隐形冠军企业</w:t>
      </w:r>
    </w:p>
    <w:p>
      <w:pPr>
        <w:snapToGrid w:val="0"/>
        <w:jc w:val="center"/>
        <w:rPr>
          <w:rFonts w:eastAsia="方正小标宋简体"/>
          <w:sz w:val="52"/>
          <w:szCs w:val="52"/>
        </w:rPr>
      </w:pPr>
    </w:p>
    <w:p>
      <w:pPr>
        <w:snapToGrid w:val="0"/>
        <w:jc w:val="center"/>
        <w:rPr>
          <w:rFonts w:eastAsia="方正小标宋简体"/>
          <w:sz w:val="72"/>
          <w:szCs w:val="72"/>
        </w:rPr>
      </w:pPr>
      <w:r>
        <w:rPr>
          <w:rFonts w:eastAsia="方正小标宋简体"/>
          <w:sz w:val="72"/>
          <w:szCs w:val="72"/>
        </w:rPr>
        <w:t>巩固（培育）提升计划书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rPr>
          <w:rFonts w:eastAsia="仿宋_GB2312"/>
          <w:sz w:val="30"/>
          <w:szCs w:val="20"/>
          <w:u w:val="single"/>
        </w:rPr>
      </w:pPr>
      <w:r>
        <w:rPr>
          <w:rFonts w:eastAsia="楷体_GB2312"/>
          <w:sz w:val="32"/>
          <w:szCs w:val="32"/>
        </w:rPr>
        <w:t>企业名称（盖章）</w:t>
      </w:r>
      <w:r>
        <w:rPr>
          <w:rFonts w:eastAsia="仿宋_GB2312"/>
          <w:sz w:val="30"/>
          <w:szCs w:val="20"/>
          <w:u w:val="single"/>
        </w:rPr>
        <w:t xml:space="preserve">                                        </w:t>
      </w:r>
    </w:p>
    <w:p>
      <w:pPr>
        <w:tabs>
          <w:tab w:val="left" w:pos="8100"/>
        </w:tabs>
        <w:spacing w:line="720" w:lineRule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编</w:t>
      </w:r>
      <w:r>
        <w:rPr>
          <w:rFonts w:hint="eastAsia" w:eastAsia="楷体_GB2312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</w:rPr>
        <w:t>制</w:t>
      </w:r>
      <w:r>
        <w:rPr>
          <w:rFonts w:hint="eastAsia" w:eastAsia="楷体_GB2312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</w:rPr>
        <w:t>时</w:t>
      </w:r>
      <w:r>
        <w:rPr>
          <w:rFonts w:hint="eastAsia" w:eastAsia="楷体_GB2312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</w:rPr>
        <w:t xml:space="preserve">间  </w:t>
      </w:r>
      <w:r>
        <w:rPr>
          <w:rFonts w:eastAsia="仿宋_GB2312"/>
          <w:sz w:val="30"/>
          <w:szCs w:val="30"/>
          <w:u w:val="single"/>
        </w:rPr>
        <w:t xml:space="preserve">                   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        </w:t>
      </w:r>
      <w:r>
        <w:rPr>
          <w:rFonts w:eastAsia="楷体_GB2312"/>
          <w:sz w:val="30"/>
          <w:szCs w:val="30"/>
          <w:u w:val="single"/>
        </w:rPr>
        <w:t xml:space="preserve"> </w:t>
      </w:r>
    </w:p>
    <w:p>
      <w:pPr>
        <w:spacing w:line="712" w:lineRule="exact"/>
        <w:rPr>
          <w:rFonts w:eastAsia="仿宋_GB2312"/>
          <w:sz w:val="30"/>
          <w:szCs w:val="20"/>
          <w:u w:val="single"/>
        </w:rPr>
      </w:pPr>
    </w:p>
    <w:p>
      <w:pPr>
        <w:spacing w:line="712" w:lineRule="exact"/>
        <w:rPr>
          <w:rFonts w:eastAsia="仿宋_GB2312"/>
          <w:sz w:val="30"/>
          <w:szCs w:val="20"/>
          <w:u w:val="single"/>
        </w:rPr>
      </w:pPr>
    </w:p>
    <w:p>
      <w:pPr>
        <w:spacing w:line="712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湖北省经信厅</w:t>
      </w:r>
    </w:p>
    <w:p>
      <w:pPr>
        <w:spacing w:line="360" w:lineRule="auto"/>
        <w:jc w:val="center"/>
        <w:rPr>
          <w:b/>
          <w:sz w:val="44"/>
          <w:szCs w:val="44"/>
        </w:rPr>
        <w:sectPr>
          <w:pgSz w:w="11906" w:h="16838"/>
          <w:pgMar w:top="2098" w:right="1474" w:bottom="1701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编制说明</w:t>
      </w:r>
    </w:p>
    <w:p>
      <w:pPr>
        <w:spacing w:line="360" w:lineRule="auto"/>
        <w:ind w:firstLine="720" w:firstLineChars="225"/>
        <w:rPr>
          <w:sz w:val="32"/>
          <w:szCs w:val="32"/>
        </w:rPr>
      </w:pP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一、申报支柱产业细分领域隐形冠军企业的，应编制培育发展计划书（以下简称计划书），填报内容应涵盖但不限于计划书编制提纲中的内容。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二、申报企业可参照隐形冠军示范企业的主要条件，制定未来3-5年培育发展的目标任务、具体计划和措施。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三、申报企业应根据实际情况科学合理制定目标任务和计划，措施得当，切实可行，避免目标任务定的过高过空。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四、已制定未来3-5年发展战略规划的申报企业，可将有关材料一并附上，电子版的材料自行扫描附上。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五、提交材料包括纸质材料一份和电子文本。电子文本通过网络递交。申报企业必须确保纸质材料和电子文本的一致性。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六、纸质材料请使用A4纸双面印刷，装订平整，采用普通纸质材料作为封面。</w:t>
      </w:r>
    </w:p>
    <w:p>
      <w:pPr>
        <w:rPr>
          <w:rFonts w:eastAsia="仿宋"/>
          <w:sz w:val="32"/>
          <w:szCs w:val="32"/>
        </w:rPr>
        <w:sectPr>
          <w:footerReference r:id="rId3" w:type="default"/>
          <w:pgSz w:w="11906" w:h="16838"/>
          <w:pgMar w:top="2098" w:right="1474" w:bottom="1701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firstLine="883" w:firstLineChars="200"/>
        <w:rPr>
          <w:rFonts w:eastAsia="黑体"/>
          <w:b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支柱产业细分领域隐形冠军示范培育企业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巩固（培育）提升发展方案</w:t>
      </w:r>
    </w:p>
    <w:p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（编制提纲）</w:t>
      </w:r>
    </w:p>
    <w:p>
      <w:pPr>
        <w:spacing w:line="600" w:lineRule="exact"/>
        <w:jc w:val="center"/>
        <w:rPr>
          <w:rFonts w:eastAsia="黑体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一、目标任务</w:t>
      </w:r>
    </w:p>
    <w:p>
      <w:pPr>
        <w:spacing w:line="600" w:lineRule="exact"/>
        <w:ind w:firstLine="643" w:firstLineChars="200"/>
        <w:jc w:val="left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（一）企业未来3-5年发展的战略思路</w:t>
      </w:r>
    </w:p>
    <w:p>
      <w:pPr>
        <w:spacing w:line="600" w:lineRule="exact"/>
        <w:ind w:firstLine="643" w:firstLineChars="200"/>
        <w:jc w:val="left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（二）总体目标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企业总体目标应包括经营目标，如主营业务收入、缴税总额、企业主营业务年平均增长率、企业净利润年平均增长率等方面目标；细分领域主营产品发展目标，如产品市场占有率及排名、主营产品出口额占主营业务收入的比重、产品质量目标、产品关键性能指标水平、产品能耗目标等方面目标；企业创新能力提升目标，如开发新产品数量、企业掌握的关键生产技术和工艺的水平、拥有核心自主知识产权数量、研发投入等方面目标，目标应可量化可考核）</w:t>
      </w:r>
    </w:p>
    <w:p>
      <w:pPr>
        <w:spacing w:line="600" w:lineRule="exact"/>
        <w:ind w:firstLine="643" w:firstLineChars="200"/>
        <w:jc w:val="left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（三）工作任务及时间进度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企业根据战略思路和总体目标，分析现状与目标间的差距，提出切实可行的工作任务，每项任务应有相应的时间节点，任务可包括强化隐形冠军发展战略、提高创新能力、提高产品质量、培育国际品牌、完善经营管理制度等内容）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二、具体计划</w:t>
      </w:r>
    </w:p>
    <w:p>
      <w:pPr>
        <w:spacing w:line="600" w:lineRule="exact"/>
        <w:ind w:firstLine="640" w:firstLineChars="2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z w:val="32"/>
          <w:szCs w:val="32"/>
        </w:rPr>
        <w:t>（结</w:t>
      </w:r>
      <w:r>
        <w:rPr>
          <w:rFonts w:eastAsia="仿宋_GB2312"/>
          <w:spacing w:val="-4"/>
          <w:sz w:val="32"/>
          <w:szCs w:val="32"/>
        </w:rPr>
        <w:t>合目标任务，提出详细工作计划、步骤及路径等，如企业完成目标任务必须实施的项目计划，投融资计划，人才培养计划，海外扩张并购计划，产学研项目合作计划，创新激励机制建设等）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三、措施</w:t>
      </w:r>
    </w:p>
    <w:p>
      <w:pPr>
        <w:spacing w:line="600" w:lineRule="exact"/>
        <w:ind w:firstLine="640" w:firstLineChars="200"/>
        <w:rPr>
          <w:rFonts w:eastAsia="仿宋_GB2312"/>
          <w:sz w:val="13"/>
          <w:szCs w:val="13"/>
        </w:rPr>
      </w:pPr>
      <w:r>
        <w:rPr>
          <w:rFonts w:eastAsia="仿宋_GB2312"/>
          <w:sz w:val="32"/>
          <w:szCs w:val="32"/>
        </w:rPr>
        <w:t>（申报企业要围绕目标任务和具体计划安排，提出有针对性的保障措施，主要包括组织实施、资金投入、人力资源、评价考核等方面的保障措施）</w:t>
      </w:r>
    </w:p>
    <w:p/>
    <w:p>
      <w:pPr>
        <w:pStyle w:val="2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</w:rPr>
      </w:pPr>
    </w:p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C6BCF"/>
    <w:rsid w:val="4B9C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2021-06-18T09:34:00Z</dcterms:created>
  <dc:creator>immortal</dc:creator>
  <cp:lastModifiedBy>immortal</cp:lastModifiedBy>
  <dcterms:modified xsi:type="dcterms:W3CDTF">2021-06-18T09:34:41Z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108A5083FD984BB980567C3A64210DF5</vt:lpwstr>
  </property>
</Properties>
</file>