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附件4-1  </w:t>
      </w:r>
    </w:p>
    <w:p>
      <w:pPr>
        <w:spacing w:line="360" w:lineRule="auto"/>
        <w:rPr>
          <w:rFonts w:hint="default" w:ascii="Times New Roman" w:hAnsi="Times New Roman" w:cs="Times New Roman"/>
          <w:sz w:val="30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四、自评价报告应按照规定格式填写，并使用A4纸打印装订（一式两份、电子版一份）。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16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我单位郑重承诺：本次申报绿色工业园区示范所提交的相关数据和信息均真实、有效，愿接受并积极配合主管部门的监督抽查和核验。如有违反，愿承担由此产生的相应责任。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wordWrap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      日期： 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一、绿色工业园区建设或改造简述（3000字）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4" w:type="dxa"/>
            <w:noWrap w:val="0"/>
            <w:vAlign w:val="top"/>
          </w:tcPr>
          <w:p>
            <w:pPr>
              <w:pStyle w:val="15"/>
              <w:widowControl/>
              <w:snapToGrid w:val="0"/>
              <w:spacing w:line="360" w:lineRule="auto"/>
              <w:ind w:firstLine="48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对绿色工业园区建设或改造开展的工作、取得的成效和未来三年改造计划等进行简要叙述。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二、绿色工业园区自评价结果情况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园区工业指标符合性评价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园区基本要求符合性评价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本机构承诺已对园区材料进行全面审核，保证园区数据真实有效，评价程序公正，评价结果客观。评价报告若存在弄虚作假，本机构愿承担责任。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负责人签字：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（单位公章）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一、评价园区情况介绍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主要介绍绿色工业园区评价的目的、依据及被评价园区的基本情况等内容。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二、评价过程描述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主要介绍评价工作安排、评价人员组成、文件资料评价情况、现场评价情况、数据收集及审核的过程、指标数据的不确定性分析、报告编写及评价结论复核等内容。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三、园区绿色化建设或改造主要做法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主要介绍为推动绿色工业园区建设或改造所采取的主要做法。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四、绿色工业园区建设或改造工作亮点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主要介绍绿色工业园区建设或改造工作中的亮点。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五、绿色工业园区建设或改造中存在的问题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主要介绍绿色工业园区建设或改造过程中存在的问题。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六、有关建议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园区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持续创建绿色工业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园区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的下一步工作提出建议。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七、参考文件清单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列出报告编写过程中所参考的园区相关材料清单。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八、第三方机构资质符合性证明材料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snapToGrid w:val="0"/>
        <w:spacing w:line="360" w:lineRule="auto"/>
        <w:ind w:firstLine="60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园区评价指标数据评价清单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园区基本要求符合性评价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D2272"/>
    <w:rsid w:val="002F4838"/>
    <w:rsid w:val="00370678"/>
    <w:rsid w:val="003869D4"/>
    <w:rsid w:val="00445B70"/>
    <w:rsid w:val="004C78D5"/>
    <w:rsid w:val="004D4AB1"/>
    <w:rsid w:val="005B1815"/>
    <w:rsid w:val="00620E4A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104C4F32"/>
    <w:rsid w:val="1127018E"/>
    <w:rsid w:val="15A65902"/>
    <w:rsid w:val="18E01E8E"/>
    <w:rsid w:val="19667220"/>
    <w:rsid w:val="1D651AF0"/>
    <w:rsid w:val="1FC54E2E"/>
    <w:rsid w:val="201B3F96"/>
    <w:rsid w:val="25A12D8B"/>
    <w:rsid w:val="2612597F"/>
    <w:rsid w:val="26154A0D"/>
    <w:rsid w:val="27C76AC8"/>
    <w:rsid w:val="2E962738"/>
    <w:rsid w:val="35B67552"/>
    <w:rsid w:val="3EEC42E1"/>
    <w:rsid w:val="3EFE3FDE"/>
    <w:rsid w:val="3EFF61C3"/>
    <w:rsid w:val="40D57A53"/>
    <w:rsid w:val="41CE65C9"/>
    <w:rsid w:val="44373D73"/>
    <w:rsid w:val="449F113B"/>
    <w:rsid w:val="46974A08"/>
    <w:rsid w:val="48E171FE"/>
    <w:rsid w:val="4A901C1B"/>
    <w:rsid w:val="522E4F13"/>
    <w:rsid w:val="535E0147"/>
    <w:rsid w:val="54D30050"/>
    <w:rsid w:val="552F556D"/>
    <w:rsid w:val="573A08F3"/>
    <w:rsid w:val="5EE347E5"/>
    <w:rsid w:val="600B462F"/>
    <w:rsid w:val="636F989A"/>
    <w:rsid w:val="6B3A4D72"/>
    <w:rsid w:val="6B5446B0"/>
    <w:rsid w:val="6B6694B8"/>
    <w:rsid w:val="6B9B6BC4"/>
    <w:rsid w:val="6BAF3A75"/>
    <w:rsid w:val="6DDE4D72"/>
    <w:rsid w:val="711024D7"/>
    <w:rsid w:val="71873168"/>
    <w:rsid w:val="71EE74EF"/>
    <w:rsid w:val="76C16E5F"/>
    <w:rsid w:val="77952C63"/>
    <w:rsid w:val="7D9A17AC"/>
    <w:rsid w:val="7FBE5199"/>
    <w:rsid w:val="7FBE597F"/>
    <w:rsid w:val="AFCFE8FA"/>
    <w:rsid w:val="DFFF26B3"/>
    <w:rsid w:val="EFEA5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2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15</Pages>
  <Words>1067</Words>
  <Characters>6084</Characters>
  <Lines>50</Lines>
  <Paragraphs>14</Paragraphs>
  <TotalTime>0</TotalTime>
  <ScaleCrop>false</ScaleCrop>
  <LinksUpToDate>false</LinksUpToDate>
  <CharactersWithSpaces>7137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2018-06-28T09:00:00Z</dcterms:created>
  <dc:creator>admin</dc:creator>
  <cp:lastModifiedBy>WPS_1598854626</cp:lastModifiedBy>
  <cp:lastPrinted>2021-05-20T10:41:47Z</cp:lastPrinted>
  <dcterms:modified xsi:type="dcterms:W3CDTF">2021-05-31T08:39:55Z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5641AF12A9894AF799F5495D14577E91</vt:lpwstr>
  </property>
</Properties>
</file>