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00" w:type="dxa"/>
        <w:jc w:val="center"/>
        <w:tblCellSpacing w:w="0" w:type="dxa"/>
        <w:tblInd w:w="-1847" w:type="dxa"/>
        <w:shd w:val="clear" w:color="auto" w:fill="FFFFFF"/>
        <w:tblLayout w:type="fixed"/>
        <w:tblCellMar>
          <w:top w:w="0" w:type="dxa"/>
          <w:left w:w="0" w:type="dxa"/>
          <w:bottom w:w="0" w:type="dxa"/>
          <w:right w:w="0" w:type="dxa"/>
        </w:tblCellMar>
      </w:tblPr>
      <w:tblGrid>
        <w:gridCol w:w="12000"/>
      </w:tblGrid>
      <w:tr>
        <w:tblPrEx>
          <w:shd w:val="clear" w:color="auto" w:fill="FFFFFF"/>
          <w:tblLayout w:type="fixed"/>
          <w:tblCellMar>
            <w:top w:w="0" w:type="dxa"/>
            <w:left w:w="0" w:type="dxa"/>
            <w:bottom w:w="0" w:type="dxa"/>
            <w:right w:w="0" w:type="dxa"/>
          </w:tblCellMar>
        </w:tblPrEx>
        <w:trPr>
          <w:tblCellSpacing w:w="0" w:type="dxa"/>
          <w:jc w:val="center"/>
        </w:trPr>
        <w:tc>
          <w:tcPr>
            <w:tcW w:w="120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20" w:right="0"/>
              <w:jc w:val="center"/>
              <w:rPr>
                <w:rFonts w:hint="eastAsia" w:ascii="宋体" w:hAnsi="宋体" w:eastAsia="宋体" w:cs="宋体"/>
              </w:rPr>
            </w:pPr>
            <w:bookmarkStart w:id="0" w:name="_GoBack"/>
            <w:r>
              <w:rPr>
                <w:rFonts w:hint="eastAsia" w:ascii="宋体" w:hAnsi="宋体" w:eastAsia="宋体" w:cs="宋体"/>
                <w:b/>
                <w:i w:val="0"/>
                <w:caps w:val="0"/>
                <w:color w:val="333333"/>
                <w:spacing w:val="0"/>
                <w:sz w:val="24"/>
                <w:szCs w:val="24"/>
                <w:bdr w:val="none" w:color="auto" w:sz="0" w:space="0"/>
              </w:rPr>
              <w:t>构建市场导向的绿色技术创新体系路线图、时间表</w:t>
            </w:r>
          </w:p>
          <w:bookmarkEnd w:id="0"/>
          <w:tbl>
            <w:tblPr>
              <w:tblW w:w="12000" w:type="dxa"/>
              <w:jc w:val="center"/>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91"/>
              <w:gridCol w:w="2092"/>
              <w:gridCol w:w="2595"/>
              <w:gridCol w:w="6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3" w:hRule="atLeast"/>
                <w:jc w:val="center"/>
              </w:trPr>
              <w:tc>
                <w:tcPr>
                  <w:tcW w:w="3283" w:type="dxa"/>
                  <w:gridSpan w:val="2"/>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b/>
                      <w:color w:val="444444"/>
                      <w:sz w:val="24"/>
                      <w:szCs w:val="24"/>
                      <w:bdr w:val="none" w:color="auto" w:sz="0" w:space="0"/>
                    </w:rPr>
                    <w:t>任    务</w:t>
                  </w:r>
                </w:p>
              </w:tc>
              <w:tc>
                <w:tcPr>
                  <w:tcW w:w="2595"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b/>
                      <w:color w:val="444444"/>
                      <w:sz w:val="24"/>
                      <w:szCs w:val="24"/>
                      <w:bdr w:val="none" w:color="auto" w:sz="0" w:space="0"/>
                    </w:rPr>
                    <w:t>牵头部门</w:t>
                  </w:r>
                </w:p>
              </w:tc>
              <w:tc>
                <w:tcPr>
                  <w:tcW w:w="6122"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b/>
                      <w:color w:val="444444"/>
                      <w:sz w:val="24"/>
                      <w:szCs w:val="24"/>
                      <w:bdr w:val="none" w:color="auto" w:sz="0" w:space="0"/>
                    </w:rPr>
                    <w:t>主要成果形式和完成时间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restart"/>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一、培育壮大绿色技术创新主体</w:t>
                  </w: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1.强化企业的绿色技术创新主体地位</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w:t>
                  </w:r>
                </w:p>
              </w:tc>
              <w:tc>
                <w:tcPr>
                  <w:tcW w:w="6122"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1.实施绿色技术创新“十百千”行动（2019-2022年）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2.开展绿色技术创新企业认定（2019-2022年）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2.激发高校、科研院所绿色技术创新活力</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科技部、教育部、财政部、人力资源社会保障部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3.完善促进高校、科研院所绿色技术创新和成果转化的政策措施（2020年）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4.设立一批绿色技术创新人才培养基地（2019-2022年）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5.开展职业教育机构绿色技术专业教育试点（2019-2022年）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3.推进“产学研金介”深度融合</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科技部、教育部、农业农村部、人力资源社会保障部、国家发展改革委、国家能源局</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6.推动龙头企业整合高校、科研院所、产业园区、金融机构、中介机构等力量建立联合体（2019-2022年）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7.完善促进和规范绿色技术创新人才流动的相关政策（2020年）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8.推动组建一批绿色技术创新联盟（2019-2022年）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4.加强绿色技术创新基地平台建设</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9.在绿色技术领域培育建设一批国家工程研究中心、国家技术创新中心、国家科技资源共享服务平台等创新基地（2019-2022年）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10.在全国建设基础性长期性野外生态观测研究站等科研监测观测网络和一批科学数据中心（2019-2022年）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restart"/>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二、加强绿色技术创新的导向机制</w:t>
                  </w: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5.加强绿色技术创新方向引导</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国家发展改革委、科技部、住房城乡建设部、生态环境部、工业和信息化部、自然资源部、水利部、农业农村部、国家能源局、国家林草局</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11.发布绿色技术产业指导目录、绿色技术推广目录、绿色技术与装备淘汰目录（2020年）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12.实施一批绿色技术创新重大工程和项目（2019-2022年）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13.健全绿色技术创新科研管理机制（2019-2022年）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6.强化绿色技术标准引领</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市场监管总局、科技部、国家发展改革委、生态环境部、住房城乡建设部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14.征集并下达重点领域绿色技术标准制修订专项计划（2019年）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15.制修订一批节能节水、污染物排放等强制性标准并不断更新（2018-2022年）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16.开展绿色技术评估和效果验证（2019年）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7.建立健全政府绿色采购制度</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财政部、国家发展改革委、科技部、生态环境部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17.扩大政府绿色采购范围（2020年）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18.政府购买绿色技术向社会免费推广（2019-2022年）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8.推进绿色技术创新评价和认证</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工业和信息化部、市场监管总局、国家发展改革委、住房城乡建设部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19.组织制定绿色（生态）设计产品评价技术规范（2019-2020年）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20.建立家电、汽车、建材等产品全生命周期和全产业链绿色认证管理制度（2020年）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21.开展绿色工厂建设示范（2019-2022年）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restart"/>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三、推进绿色技术创新成果转化示范应用</w:t>
                  </w: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9.建立健全绿色技术转移转化市场交易体系</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科技部、国家发展改革委、中国证监会</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22.建立国家绿色技术交易市场（2020年）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23.健全规范绿色技术交易市场的相关制度（2020年）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24.培育绿色技术交易中介机构（2019-2022年）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10.完善绿色技术创新成果转化机制</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科技部、国家发展改革委、工业和信息化部、住房城乡建设部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25.落实首台（套）重大技术装备示范应用政策措施（2020年）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26.实施一批国家科技成果转化引导基金支持绿色技术创新成果转化应用项目（2019-2022年）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11.强化绿色技术创新转移转化综合示范</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科技部、国家发展改革委、住房城乡建设部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27.建立一批绿色技术创新综合示范区、“园中园”、绿色生态城市（2019-2022年）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28.制定绿色技术创新示范区考核评价办法（2020年）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restart"/>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四、优化绿色技术创新环境</w:t>
                  </w: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12.强化绿色技术知识产权保护与服务</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国家知识产权局</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29.组织开展打击侵犯绿色技术知识产权专项行动（2019-2022年）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30.建立绿色技术知识产权侵权行为信用管理制度（2020年）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31.推进建立绿色技术知识产权审查“快速通道”（2020年）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32.完善绿色技术知识产权统计监测（2019-2022年）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13.加强绿色技术创新金融支持</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中国人民银行、国家发展改革委、中国银保监会、中国证监会</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33.制定公募和私募基金绿色投资标准和行为指引（2020年）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34.加大对绿色技术创新的金融支持力度（2019-2022年）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14.推进全社会绿色技术创新</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科技部、国家发展改革委、生态环境部、住房城乡建设部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35.组织绿色技术创新创业大赛（2019-2022年）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36.建立一批绿色技术众创空间（2019-2022年）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37.推广绿色技术创新典型案例（2019-2022年）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restart"/>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五、加强绿色技术创新对外开放与国际合作</w:t>
                  </w: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15.深化绿色技术创新国际合作</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科技部、国家发展改革委、生态环境部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38.建立“一带一路”绿色技术创新联盟（2020年）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39.通过博览会、论坛等形式促进绿色技术国际传播（2019-2022年）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40.开展国际十大最佳绿色技术和十大最佳绿色技术应用实践（“双十佳”）评选（2019-2022年）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444444"/>
                      <w:sz w:val="18"/>
                      <w:szCs w:val="18"/>
                    </w:rPr>
                  </w:pP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16.加大绿色技术创新对外开放</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科技部、国家发展改革委、商务部、工业和信息化部、生态环境部、住房城乡建设部</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41.健全鼓励国外绿色技术成果在国内转化落地的政策（2020年）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42.采用“园中园”模式在国家级经济技术开发区等建设国际合作生态园区（2020年）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 w:hRule="atLeast"/>
                <w:jc w:val="center"/>
              </w:trPr>
              <w:tc>
                <w:tcPr>
                  <w:tcW w:w="1191"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六、加强组织实施</w:t>
                  </w:r>
                </w:p>
              </w:tc>
              <w:tc>
                <w:tcPr>
                  <w:tcW w:w="209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宋体" w:hAnsi="宋体" w:eastAsia="宋体" w:cs="宋体"/>
                    </w:rPr>
                  </w:pPr>
                  <w:r>
                    <w:rPr>
                      <w:rFonts w:hint="eastAsia" w:ascii="宋体" w:hAnsi="宋体" w:eastAsia="宋体" w:cs="宋体"/>
                      <w:color w:val="444444"/>
                      <w:sz w:val="21"/>
                      <w:szCs w:val="21"/>
                      <w:bdr w:val="none" w:color="auto" w:sz="0" w:space="0"/>
                    </w:rPr>
                    <w:t>17.加强统筹协调和考核评价</w:t>
                  </w:r>
                </w:p>
              </w:tc>
              <w:tc>
                <w:tcPr>
                  <w:tcW w:w="2595"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宋体" w:hAnsi="宋体" w:eastAsia="宋体" w:cs="宋体"/>
                    </w:rPr>
                  </w:pPr>
                  <w:r>
                    <w:rPr>
                      <w:rFonts w:hint="eastAsia" w:ascii="宋体" w:hAnsi="宋体" w:eastAsia="宋体" w:cs="宋体"/>
                      <w:color w:val="444444"/>
                      <w:sz w:val="21"/>
                      <w:szCs w:val="21"/>
                      <w:bdr w:val="none" w:color="auto" w:sz="0" w:space="0"/>
                    </w:rPr>
                    <w:t>科技部、国家发展改革委</w:t>
                  </w:r>
                </w:p>
              </w:tc>
              <w:tc>
                <w:tcPr>
                  <w:tcW w:w="61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43.建立绿色技术创新部际协调机制（2019年）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宋体" w:hAnsi="宋体" w:eastAsia="宋体" w:cs="宋体"/>
                    </w:rPr>
                  </w:pPr>
                  <w:r>
                    <w:rPr>
                      <w:rFonts w:hint="eastAsia" w:ascii="宋体" w:hAnsi="宋体" w:eastAsia="宋体" w:cs="宋体"/>
                      <w:color w:val="444444"/>
                      <w:sz w:val="21"/>
                      <w:szCs w:val="21"/>
                      <w:bdr w:val="none" w:color="auto" w:sz="0" w:space="0"/>
                    </w:rPr>
                    <w:t>44.开展绿色技术创新政策绩效评估，将绿色技术创新有关内容纳入创新驱动、生态文明等考核体系（2020年）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rPr>
            </w:pPr>
            <w:r>
              <w:rPr>
                <w:rFonts w:hint="eastAsia" w:ascii="宋体" w:hAnsi="宋体" w:eastAsia="宋体" w:cs="宋体"/>
                <w:i w:val="0"/>
                <w:caps w:val="0"/>
                <w:color w:val="333333"/>
                <w:spacing w:val="0"/>
                <w:sz w:val="21"/>
                <w:szCs w:val="21"/>
                <w:bdr w:val="none" w:color="auto" w:sz="0" w:space="0"/>
              </w:rPr>
              <w:t>注：牵头部门根据职责分工负责，参加部门由牵头部门确定。</w:t>
            </w:r>
          </w:p>
        </w:tc>
      </w:tr>
      <w:tr>
        <w:tblPrEx>
          <w:shd w:val="clear" w:color="auto" w:fill="FFFFFF"/>
          <w:tblLayout w:type="fixed"/>
          <w:tblCellMar>
            <w:top w:w="0" w:type="dxa"/>
            <w:left w:w="0" w:type="dxa"/>
            <w:bottom w:w="0" w:type="dxa"/>
            <w:right w:w="0" w:type="dxa"/>
          </w:tblCellMar>
        </w:tblPrEx>
        <w:trPr>
          <w:tblCellSpacing w:w="0" w:type="dxa"/>
          <w:jc w:val="center"/>
        </w:trPr>
        <w:tc>
          <w:tcPr>
            <w:tcW w:w="12000" w:type="dxa"/>
            <w:shd w:val="clear" w:color="auto" w:fill="FFFFFF"/>
            <w:vAlign w:val="center"/>
          </w:tcPr>
          <w:tbl>
            <w:tblPr>
              <w:tblW w:w="11880" w:type="dxa"/>
              <w:jc w:val="center"/>
              <w:tblCellSpacing w:w="0" w:type="dxa"/>
              <w:tblInd w:w="60" w:type="dxa"/>
              <w:shd w:val="clear"/>
              <w:tblLayout w:type="fixed"/>
              <w:tblCellMar>
                <w:top w:w="0" w:type="dxa"/>
                <w:left w:w="0" w:type="dxa"/>
                <w:bottom w:w="0" w:type="dxa"/>
                <w:right w:w="0" w:type="dxa"/>
              </w:tblCellMar>
            </w:tblPr>
            <w:tblGrid>
              <w:gridCol w:w="11880"/>
            </w:tblGrid>
            <w:tr>
              <w:tblPrEx>
                <w:shd w:val="clear"/>
                <w:tblLayout w:type="fixed"/>
                <w:tblCellMar>
                  <w:top w:w="0" w:type="dxa"/>
                  <w:left w:w="0" w:type="dxa"/>
                  <w:bottom w:w="0" w:type="dxa"/>
                  <w:right w:w="0" w:type="dxa"/>
                </w:tblCellMar>
              </w:tblPrEx>
              <w:trPr>
                <w:trHeight w:val="16" w:hRule="atLeast"/>
                <w:tblCellSpacing w:w="0" w:type="dxa"/>
                <w:jc w:val="center"/>
              </w:trPr>
              <w:tc>
                <w:tcPr>
                  <w:tcW w:w="11880" w:type="dxa"/>
                  <w:shd w:val="clear"/>
                  <w:vAlign w:val="center"/>
                </w:tcPr>
                <w:p>
                  <w:pPr>
                    <w:rPr>
                      <w:rFonts w:hint="eastAsia" w:ascii="宋体" w:hAnsi="宋体" w:eastAsia="宋体" w:cs="宋体"/>
                      <w:color w:val="444444"/>
                      <w:sz w:val="18"/>
                      <w:szCs w:val="18"/>
                    </w:rPr>
                  </w:pPr>
                </w:p>
              </w:tc>
            </w:tr>
            <w:tr>
              <w:tblPrEx>
                <w:tblLayout w:type="fixed"/>
                <w:tblCellMar>
                  <w:top w:w="0" w:type="dxa"/>
                  <w:left w:w="0" w:type="dxa"/>
                  <w:bottom w:w="0" w:type="dxa"/>
                  <w:right w:w="0" w:type="dxa"/>
                </w:tblCellMar>
              </w:tblPrEx>
              <w:trPr>
                <w:trHeight w:val="16" w:hRule="atLeast"/>
                <w:tblCellSpacing w:w="0" w:type="dxa"/>
                <w:jc w:val="center"/>
              </w:trPr>
              <w:tc>
                <w:tcPr>
                  <w:tcW w:w="11880" w:type="dxa"/>
                  <w:shd w:val="clear"/>
                  <w:vAlign w:val="center"/>
                </w:tcPr>
                <w:p>
                  <w:pPr>
                    <w:rPr>
                      <w:rFonts w:hint="eastAsia" w:ascii="宋体" w:hAnsi="宋体" w:eastAsia="宋体" w:cs="宋体"/>
                      <w:color w:val="444444"/>
                      <w:sz w:val="18"/>
                      <w:szCs w:val="18"/>
                    </w:rPr>
                  </w:pPr>
                </w:p>
              </w:tc>
            </w:tr>
            <w:tr>
              <w:tblPrEx>
                <w:tblLayout w:type="fixed"/>
                <w:tblCellMar>
                  <w:top w:w="0" w:type="dxa"/>
                  <w:left w:w="0" w:type="dxa"/>
                  <w:bottom w:w="0" w:type="dxa"/>
                  <w:right w:w="0" w:type="dxa"/>
                </w:tblCellMar>
              </w:tblPrEx>
              <w:trPr>
                <w:trHeight w:val="16" w:hRule="atLeast"/>
                <w:tblCellSpacing w:w="0" w:type="dxa"/>
                <w:jc w:val="center"/>
              </w:trPr>
              <w:tc>
                <w:tcPr>
                  <w:tcW w:w="11880" w:type="dxa"/>
                  <w:shd w:val="clear"/>
                  <w:vAlign w:val="center"/>
                </w:tcPr>
                <w:p>
                  <w:pPr>
                    <w:rPr>
                      <w:rFonts w:hint="eastAsia" w:ascii="宋体" w:hAnsi="宋体" w:eastAsia="宋体" w:cs="宋体"/>
                      <w:color w:val="444444"/>
                      <w:sz w:val="18"/>
                      <w:szCs w:val="18"/>
                    </w:rPr>
                  </w:pPr>
                </w:p>
              </w:tc>
            </w:tr>
          </w:tbl>
          <w:p>
            <w:pPr>
              <w:jc w:val="center"/>
              <w:rPr>
                <w:rFonts w:hint="eastAsia" w:ascii="宋体" w:hAnsi="宋体" w:eastAsia="宋体" w:cs="宋体"/>
                <w:i w:val="0"/>
                <w:caps w:val="0"/>
                <w:color w:val="333333"/>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A32C7"/>
    <w:rsid w:val="315A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2019-05-16T03:03:00Z</dcterms:created>
  <dc:creator>三shu.</dc:creator>
  <cp:lastModifiedBy>三shu.</cp:lastModifiedBy>
  <dcterms:modified xsi:type="dcterms:W3CDTF">2019-05-16T03:05:07Z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