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before="240" w:after="240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工业软件领域分类表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271"/>
        <w:gridCol w:w="5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  <w:jc w:val="center"/>
        </w:trPr>
        <w:tc>
          <w:tcPr>
            <w:tcW w:w="713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271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5234" w:type="dxa"/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eastAsia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333333"/>
                <w:kern w:val="0"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1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集成电路设计领域</w:t>
            </w:r>
          </w:p>
        </w:tc>
        <w:tc>
          <w:tcPr>
            <w:tcW w:w="5234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bCs/>
                <w:color w:val="333333"/>
                <w:kern w:val="0"/>
                <w:sz w:val="24"/>
              </w:rPr>
              <w:t>高性能处理器和 FPGA 芯片；存储芯片；智能传感器；工业、通信、汽车和安全芯片；EDA、IP 及设计服务。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  <w:jc w:val="center"/>
        </w:trPr>
        <w:tc>
          <w:tcPr>
            <w:tcW w:w="7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2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研发设计类</w:t>
            </w:r>
          </w:p>
        </w:tc>
        <w:tc>
          <w:tcPr>
            <w:tcW w:w="5234" w:type="dxa"/>
            <w:vAlign w:val="center"/>
          </w:tcPr>
          <w:p>
            <w:pPr>
              <w:widowControl/>
              <w:shd w:val="clear" w:color="auto" w:fill="FFFFFF"/>
              <w:rPr>
                <w:rFonts w:eastAsia="仿宋"/>
                <w:bCs/>
                <w:color w:val="333333"/>
                <w:kern w:val="0"/>
                <w:sz w:val="24"/>
              </w:rPr>
            </w:pPr>
            <w:r>
              <w:rPr>
                <w:rFonts w:eastAsia="仿宋"/>
                <w:bCs/>
                <w:color w:val="333333"/>
                <w:kern w:val="0"/>
                <w:sz w:val="24"/>
              </w:rPr>
              <w:t>主要包括四类软件，计算机辅助设计类软件CAD、计算机辅助工程类软件CAE、计算机辅助制造类软件CAM、电子设计自动化类软件EDA。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  <w:jc w:val="center"/>
        </w:trPr>
        <w:tc>
          <w:tcPr>
            <w:tcW w:w="7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3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生产制造类</w:t>
            </w:r>
          </w:p>
        </w:tc>
        <w:tc>
          <w:tcPr>
            <w:tcW w:w="5234" w:type="dxa"/>
            <w:vAlign w:val="center"/>
          </w:tcPr>
          <w:p>
            <w:pPr>
              <w:widowControl/>
              <w:shd w:val="clear" w:color="auto" w:fill="FFFFFF"/>
              <w:rPr>
                <w:rFonts w:eastAsia="仿宋"/>
                <w:bCs/>
                <w:color w:val="333333"/>
                <w:kern w:val="0"/>
                <w:sz w:val="24"/>
              </w:rPr>
            </w:pPr>
            <w:r>
              <w:rPr>
                <w:rFonts w:eastAsia="仿宋"/>
                <w:bCs/>
                <w:color w:val="333333"/>
                <w:kern w:val="0"/>
                <w:sz w:val="24"/>
              </w:rPr>
              <w:t>主要分为制造执行系统MES、分布式控制系统DCS、数据采集与监视控制系SCADA、可编程逻辑控制器PLC等。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7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4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经营管理类</w:t>
            </w:r>
          </w:p>
        </w:tc>
        <w:tc>
          <w:tcPr>
            <w:tcW w:w="5234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bCs/>
                <w:color w:val="333333"/>
                <w:kern w:val="0"/>
                <w:sz w:val="24"/>
              </w:rPr>
              <w:t>主要有企业资源计划ERP、供应链管理SCM、客户关系管理CRM等。</w:t>
            </w:r>
            <w:r>
              <w:rPr>
                <w:rFonts w:eastAsia="仿宋"/>
                <w:color w:val="333333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7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5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运维服务类</w:t>
            </w:r>
          </w:p>
        </w:tc>
        <w:tc>
          <w:tcPr>
            <w:tcW w:w="5234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bCs/>
                <w:color w:val="333333"/>
                <w:kern w:val="0"/>
                <w:sz w:val="24"/>
              </w:rPr>
              <w:t>主要用于工业品使用过程中的状态监测、故障诊断与健康管理PHM、维护维修运行MRO等。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7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6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信息安全类</w:t>
            </w:r>
          </w:p>
        </w:tc>
        <w:tc>
          <w:tcPr>
            <w:tcW w:w="5234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bCs/>
                <w:color w:val="333333"/>
                <w:kern w:val="0"/>
                <w:sz w:val="24"/>
              </w:rPr>
              <w:t>信息系统安全、网络安全、密码算法、数据安全、安全测试等方面的软件。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7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工业基础软件类</w:t>
            </w:r>
          </w:p>
        </w:tc>
        <w:tc>
          <w:tcPr>
            <w:tcW w:w="5234" w:type="dxa"/>
            <w:vAlign w:val="center"/>
          </w:tcPr>
          <w:p>
            <w:pPr>
              <w:widowControl/>
              <w:rPr>
                <w:rFonts w:eastAsia="仿宋"/>
                <w:bCs/>
                <w:color w:val="333333"/>
                <w:kern w:val="0"/>
                <w:sz w:val="24"/>
              </w:rPr>
            </w:pPr>
            <w:r>
              <w:rPr>
                <w:rFonts w:eastAsia="仿宋"/>
                <w:bCs/>
                <w:color w:val="333333"/>
                <w:kern w:val="0"/>
                <w:sz w:val="24"/>
              </w:rPr>
              <w:t>操作系统、数据库、中间件。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7" w:hRule="atLeast"/>
          <w:jc w:val="center"/>
        </w:trPr>
        <w:tc>
          <w:tcPr>
            <w:tcW w:w="713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8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color w:val="333333"/>
                <w:kern w:val="0"/>
                <w:sz w:val="24"/>
              </w:rPr>
              <w:t>新兴技术软件类</w:t>
            </w:r>
          </w:p>
        </w:tc>
        <w:tc>
          <w:tcPr>
            <w:tcW w:w="5234" w:type="dxa"/>
            <w:vAlign w:val="center"/>
          </w:tcPr>
          <w:p>
            <w:pPr>
              <w:widowControl/>
              <w:rPr>
                <w:rFonts w:eastAsia="仿宋"/>
                <w:color w:val="333333"/>
                <w:kern w:val="0"/>
                <w:sz w:val="24"/>
              </w:rPr>
            </w:pPr>
            <w:r>
              <w:rPr>
                <w:rFonts w:eastAsia="仿宋"/>
                <w:bCs/>
                <w:color w:val="333333"/>
                <w:kern w:val="0"/>
                <w:sz w:val="24"/>
              </w:rPr>
              <w:t>人工智能、传感器技术、机器视觉与模式识别、图像与语音处理；数据采集与分析、大数据技术、数据驱动建模与控制、优化与调度；云计算、边缘计算技术；CPS、信息物理融合系统；仿真与数字孪生技术；智能机器人；5G技术；知识自动化及应用；分布式计算、数据分析挖掘、可视化、数据采集清洗等大数据软件；人机交互、通用算法软件、基础算法库、工具链、机器学习和深度学习框架等人工智能软件；区块链软件，工业互联网平台软件，工业APP；云管理软件，虚拟化软件、IaaS、PaaS 服务软件等。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212" w:firstLineChars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2098" w:right="1474" w:bottom="1701" w:left="1474" w:header="851" w:footer="1276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- 8 -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mNjNDY4NDViNWRmMDJhZTVlNjU0YzlkYjJkMDkifQ=="/>
  </w:docVars>
  <w:rsids>
    <w:rsidRoot w:val="764A0DFA"/>
    <w:rsid w:val="59BB7901"/>
    <w:rsid w:val="764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598</Characters>
  <Lines>0</Lines>
  <Paragraphs>0</Paragraphs>
  <TotalTime>1</TotalTime>
  <ScaleCrop>false</ScaleCrop>
  <LinksUpToDate>false</LinksUpToDate>
  <CharactersWithSpaces>603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2022-07-26T07:13:00Z</dcterms:created>
  <dc:creator>Lisa</dc:creator>
  <cp:lastModifiedBy>彭莹</cp:lastModifiedBy>
  <dcterms:modified xsi:type="dcterms:W3CDTF">2022-07-26T07:16:54Z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B6991981A68649309516B958AA607D7B</vt:lpwstr>
  </property>
</Properties>
</file>