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附件：</w:t>
      </w:r>
      <w:r>
        <w:rPr>
          <w:rFonts w:hint="eastAsia"/>
          <w:sz w:val="36"/>
          <w:szCs w:val="36"/>
        </w:rPr>
        <w:t>申报企业情况汇总</w:t>
      </w:r>
    </w:p>
    <w:bookmarkEnd w:id="0"/>
    <w:tbl>
      <w:tblPr>
        <w:tblStyle w:val="2"/>
        <w:tblW w:w="8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3928"/>
        <w:gridCol w:w="193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产值增幅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贷款金额（万元）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武汉创恒世纪激光科技有限公司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25%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武汉精测电子集团股份有限公司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38%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武汉里得电力科技股份有限公司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117%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中铁工程机械研究设计院有限公司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398%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武汉航空仪表有限责任公司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21.71%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32429.89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湖北鑫宏伟混凝土制品有限公司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22%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武汉市腾亚科技有限公司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2019新进规企业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武汉市红之星农牧机械有限公司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2019新进规企业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A223E"/>
    <w:rsid w:val="120A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2019-04-29T01:11:00Z</dcterms:created>
  <dc:creator>三shu.</dc:creator>
  <cp:lastModifiedBy>三shu.</cp:lastModifiedBy>
  <dcterms:modified xsi:type="dcterms:W3CDTF">2019-04-29T01:12:19Z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