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 w:line="20" w:lineRule="auto"/>
        <w:jc w:val="both"/>
        <w:rPr>
          <w:rFonts w:hint="default" w:ascii="黑体" w:eastAsia="黑体"/>
          <w:spacing w:val="40"/>
          <w:sz w:val="32"/>
          <w:szCs w:val="32"/>
          <w:lang w:val="en-US" w:eastAsia="zh-CN"/>
        </w:rPr>
      </w:pPr>
      <w:r>
        <w:rPr>
          <w:rFonts w:hint="eastAsia" w:ascii="黑体" w:eastAsia="黑体"/>
          <w:spacing w:val="40"/>
          <w:sz w:val="32"/>
          <w:szCs w:val="32"/>
          <w:lang w:eastAsia="zh-CN"/>
        </w:rPr>
        <w:t>附件</w:t>
      </w:r>
      <w:r>
        <w:rPr>
          <w:rFonts w:hint="eastAsia" w:ascii="黑体" w:eastAsia="黑体"/>
          <w:spacing w:val="40"/>
          <w:sz w:val="32"/>
          <w:szCs w:val="32"/>
          <w:lang w:val="en-US" w:eastAsia="zh-CN"/>
        </w:rPr>
        <w:t>2</w:t>
      </w:r>
    </w:p>
    <w:p>
      <w:pPr>
        <w:spacing w:before="156" w:beforeLines="50" w:after="156" w:afterLines="50" w:line="20" w:lineRule="auto"/>
        <w:jc w:val="center"/>
        <w:rPr>
          <w:rFonts w:ascii="黑体" w:eastAsia="黑体"/>
          <w:spacing w:val="40"/>
          <w:sz w:val="52"/>
        </w:rPr>
      </w:pPr>
    </w:p>
    <w:p>
      <w:pPr>
        <w:spacing w:before="156" w:beforeLines="50" w:after="156" w:afterLines="50" w:line="20" w:lineRule="auto"/>
        <w:jc w:val="center"/>
        <w:rPr>
          <w:rFonts w:ascii="黑体" w:eastAsia="黑体"/>
          <w:spacing w:val="40"/>
          <w:sz w:val="52"/>
        </w:rPr>
      </w:pPr>
      <w:r>
        <w:rPr>
          <w:rFonts w:hint="eastAsia" w:ascii="黑体" w:eastAsia="黑体"/>
          <w:spacing w:val="40"/>
          <w:sz w:val="52"/>
        </w:rPr>
        <w:t>工业和信息化部</w:t>
      </w:r>
    </w:p>
    <w:p>
      <w:pPr>
        <w:spacing w:before="156" w:beforeLines="50" w:after="156" w:afterLines="50" w:line="20" w:lineRule="auto"/>
        <w:jc w:val="center"/>
        <w:rPr>
          <w:rFonts w:ascii="黑体" w:eastAsia="黑体"/>
          <w:spacing w:val="40"/>
          <w:sz w:val="52"/>
        </w:rPr>
      </w:pPr>
      <w:r>
        <w:rPr>
          <w:rFonts w:hint="eastAsia" w:ascii="黑体" w:eastAsia="黑体"/>
          <w:spacing w:val="40"/>
          <w:sz w:val="52"/>
        </w:rPr>
        <w:t>2019年第</w:t>
      </w:r>
      <w:r>
        <w:rPr>
          <w:rFonts w:hint="eastAsia" w:ascii="黑体" w:eastAsia="黑体"/>
          <w:spacing w:val="40"/>
          <w:sz w:val="52"/>
          <w:lang w:eastAsia="zh-CN"/>
        </w:rPr>
        <w:t>二</w:t>
      </w:r>
      <w:r>
        <w:rPr>
          <w:rFonts w:hint="eastAsia" w:ascii="黑体" w:eastAsia="黑体"/>
          <w:spacing w:val="40"/>
          <w:sz w:val="52"/>
        </w:rPr>
        <w:t>批推荐性国家标准制修订计划</w:t>
      </w:r>
    </w:p>
    <w:p>
      <w:pPr>
        <w:spacing w:before="156" w:beforeLines="50" w:after="156" w:afterLines="50" w:line="20" w:lineRule="auto"/>
        <w:jc w:val="center"/>
        <w:rPr>
          <w:rFonts w:ascii="黑体" w:eastAsia="黑体"/>
          <w:spacing w:val="40"/>
          <w:sz w:val="52"/>
        </w:rPr>
      </w:pPr>
      <w:r>
        <w:rPr>
          <w:rFonts w:hint="eastAsia" w:ascii="黑体" w:eastAsia="黑体"/>
          <w:spacing w:val="40"/>
          <w:sz w:val="52"/>
        </w:rPr>
        <w:t>（征求意见稿）</w:t>
      </w:r>
    </w:p>
    <w:p>
      <w:pPr>
        <w:spacing w:before="156" w:beforeLines="50" w:after="156" w:afterLines="50" w:line="20" w:lineRule="auto"/>
        <w:jc w:val="center"/>
        <w:rPr>
          <w:rFonts w:ascii="黑体" w:eastAsia="黑体"/>
          <w:spacing w:val="40"/>
          <w:sz w:val="52"/>
        </w:rPr>
      </w:pPr>
    </w:p>
    <w:p>
      <w:pPr>
        <w:spacing w:before="156" w:beforeLines="50" w:after="156" w:afterLines="50" w:line="20" w:lineRule="auto"/>
        <w:jc w:val="center"/>
        <w:rPr>
          <w:rFonts w:ascii="黑体" w:eastAsia="黑体"/>
          <w:spacing w:val="40"/>
          <w:sz w:val="52"/>
        </w:rPr>
      </w:pPr>
    </w:p>
    <w:p>
      <w:pPr>
        <w:spacing w:before="156" w:after="156" w:line="20" w:lineRule="auto"/>
        <w:jc w:val="center"/>
        <w:rPr>
          <w:rFonts w:ascii="黑体" w:eastAsia="黑体"/>
          <w:spacing w:val="40"/>
          <w:sz w:val="32"/>
        </w:rPr>
      </w:pPr>
      <w:r>
        <w:rPr>
          <w:rFonts w:hint="eastAsia" w:ascii="黑体" w:eastAsia="黑体"/>
          <w:spacing w:val="40"/>
          <w:sz w:val="32"/>
        </w:rPr>
        <w:t>工业和信息化部科技司</w:t>
      </w:r>
    </w:p>
    <w:p>
      <w:pPr>
        <w:spacing w:before="156" w:after="156" w:line="20" w:lineRule="auto"/>
        <w:jc w:val="center"/>
        <w:rPr>
          <w:rFonts w:ascii="黑体" w:eastAsia="黑体"/>
          <w:spacing w:val="40"/>
          <w:sz w:val="32"/>
        </w:rPr>
      </w:pPr>
      <w:r>
        <w:rPr>
          <w:rFonts w:hint="eastAsia" w:ascii="黑体" w:eastAsia="黑体"/>
          <w:spacing w:val="40"/>
          <w:sz w:val="32"/>
        </w:rPr>
        <w:t>二○一九年</w:t>
      </w:r>
      <w:r>
        <w:rPr>
          <w:rFonts w:hint="eastAsia" w:ascii="黑体" w:eastAsia="黑体"/>
          <w:spacing w:val="40"/>
          <w:sz w:val="32"/>
          <w:lang w:eastAsia="zh-CN"/>
        </w:rPr>
        <w:t>四</w:t>
      </w:r>
      <w:r>
        <w:rPr>
          <w:rFonts w:hint="eastAsia" w:ascii="黑体" w:eastAsia="黑体"/>
          <w:spacing w:val="40"/>
          <w:sz w:val="32"/>
        </w:rPr>
        <w:t>月</w:t>
      </w:r>
    </w:p>
    <w:p>
      <w:pPr>
        <w:spacing w:line="20" w:lineRule="auto"/>
        <w:jc w:val="center"/>
        <w:rPr>
          <w:rFonts w:hint="eastAsia" w:ascii="黑体" w:eastAsia="黑体"/>
          <w:sz w:val="32"/>
        </w:rPr>
        <w:sectPr>
          <w:pgSz w:w="16838" w:h="11906" w:orient="landscape"/>
          <w:pgMar w:top="873" w:right="663" w:bottom="873" w:left="1230" w:header="851" w:footer="992" w:gutter="0"/>
          <w:cols w:space="425" w:num="1"/>
          <w:titlePg/>
          <w:docGrid w:type="lines" w:linePitch="312" w:charSpace="0"/>
        </w:sectPr>
      </w:pPr>
    </w:p>
    <w:p>
      <w:pPr>
        <w:spacing w:line="20" w:lineRule="auto"/>
        <w:jc w:val="center"/>
        <w:rPr>
          <w:rFonts w:ascii="黑体" w:eastAsia="黑体"/>
          <w:sz w:val="32"/>
        </w:rPr>
      </w:pPr>
      <w:r>
        <w:rPr>
          <w:rFonts w:hint="eastAsia" w:ascii="黑体" w:eastAsia="黑体"/>
          <w:sz w:val="32"/>
        </w:rPr>
        <w:t>2019年第</w:t>
      </w:r>
      <w:r>
        <w:rPr>
          <w:rFonts w:hint="eastAsia" w:ascii="黑体" w:eastAsia="黑体"/>
          <w:sz w:val="32"/>
          <w:lang w:eastAsia="zh-CN"/>
        </w:rPr>
        <w:t>二</w:t>
      </w:r>
      <w:r>
        <w:rPr>
          <w:rFonts w:hint="eastAsia" w:ascii="黑体" w:eastAsia="黑体"/>
          <w:sz w:val="32"/>
        </w:rPr>
        <w:t>批推荐性国家标准制修订计划汇总表</w:t>
      </w:r>
      <w:bookmarkStart w:id="0" w:name="A1"/>
      <w:bookmarkEnd w:id="0"/>
    </w:p>
    <w:tbl>
      <w:tblPr>
        <w:tblStyle w:val="5"/>
        <w:tblW w:w="1516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79"/>
        <w:gridCol w:w="824"/>
        <w:gridCol w:w="1061"/>
        <w:gridCol w:w="825"/>
        <w:gridCol w:w="825"/>
        <w:gridCol w:w="825"/>
        <w:gridCol w:w="825"/>
        <w:gridCol w:w="825"/>
        <w:gridCol w:w="825"/>
        <w:gridCol w:w="1061"/>
        <w:gridCol w:w="825"/>
        <w:gridCol w:w="825"/>
        <w:gridCol w:w="825"/>
        <w:gridCol w:w="825"/>
        <w:gridCol w:w="1061"/>
        <w:gridCol w:w="8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tblHeader/>
          <w:jc w:val="center"/>
        </w:trPr>
        <w:tc>
          <w:tcPr>
            <w:tcW w:w="290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申报部门</w:t>
            </w:r>
          </w:p>
        </w:tc>
        <w:tc>
          <w:tcPr>
            <w:tcW w:w="106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行业</w:t>
            </w:r>
          </w:p>
        </w:tc>
        <w:tc>
          <w:tcPr>
            <w:tcW w:w="8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合计</w:t>
            </w:r>
          </w:p>
        </w:tc>
        <w:tc>
          <w:tcPr>
            <w:tcW w:w="2475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性质</w:t>
            </w:r>
          </w:p>
        </w:tc>
        <w:tc>
          <w:tcPr>
            <w:tcW w:w="165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制修订</w:t>
            </w:r>
          </w:p>
        </w:tc>
        <w:tc>
          <w:tcPr>
            <w:tcW w:w="4361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标准类别</w:t>
            </w:r>
          </w:p>
        </w:tc>
        <w:tc>
          <w:tcPr>
            <w:tcW w:w="106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采用国际和国外先进标准数</w:t>
            </w:r>
          </w:p>
        </w:tc>
        <w:tc>
          <w:tcPr>
            <w:tcW w:w="8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重点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tblHeader/>
          <w:jc w:val="center"/>
        </w:trPr>
        <w:tc>
          <w:tcPr>
            <w:tcW w:w="290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强制</w:t>
            </w:r>
          </w:p>
        </w:tc>
        <w:tc>
          <w:tcPr>
            <w:tcW w:w="8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8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指导</w:t>
            </w:r>
          </w:p>
        </w:tc>
        <w:tc>
          <w:tcPr>
            <w:tcW w:w="8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8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修订</w:t>
            </w:r>
          </w:p>
        </w:tc>
        <w:tc>
          <w:tcPr>
            <w:tcW w:w="106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节能与综合利用</w:t>
            </w:r>
          </w:p>
        </w:tc>
        <w:tc>
          <w:tcPr>
            <w:tcW w:w="8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工程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建设</w:t>
            </w:r>
          </w:p>
        </w:tc>
        <w:tc>
          <w:tcPr>
            <w:tcW w:w="8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安全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生产</w:t>
            </w:r>
          </w:p>
        </w:tc>
        <w:tc>
          <w:tcPr>
            <w:tcW w:w="8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产品类</w:t>
            </w:r>
          </w:p>
        </w:tc>
        <w:tc>
          <w:tcPr>
            <w:tcW w:w="8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标准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样品</w:t>
            </w:r>
          </w:p>
        </w:tc>
        <w:tc>
          <w:tcPr>
            <w:tcW w:w="10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tblHeader/>
          <w:jc w:val="center"/>
        </w:trPr>
        <w:tc>
          <w:tcPr>
            <w:tcW w:w="2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合计</w:t>
            </w:r>
          </w:p>
        </w:tc>
        <w:tc>
          <w:tcPr>
            <w:tcW w:w="1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  <w:lang w:val="en-US" w:eastAsia="zh-CN"/>
              </w:rPr>
              <w:t>19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  <w:lang w:val="en-US" w:eastAsia="zh-CN"/>
              </w:rPr>
              <w:t>19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  <w:lang w:val="en-US" w:eastAsia="zh-CN"/>
              </w:rPr>
              <w:t>19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1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  <w:lang w:val="en-US" w:eastAsia="zh-CN"/>
              </w:rPr>
              <w:t>19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1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装备工业司</w:t>
            </w:r>
          </w:p>
        </w:tc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18</w:t>
            </w:r>
          </w:p>
        </w:tc>
        <w:tc>
          <w:tcPr>
            <w:tcW w:w="1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汽车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18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18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18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1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18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1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2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网络安全管理局</w:t>
            </w:r>
          </w:p>
        </w:tc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1</w:t>
            </w:r>
          </w:p>
        </w:tc>
        <w:tc>
          <w:tcPr>
            <w:tcW w:w="1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通信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1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1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1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1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1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1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</w:tr>
    </w:tbl>
    <w:p>
      <w:pPr>
        <w:spacing w:line="20" w:lineRule="auto"/>
        <w:jc w:val="center"/>
        <w:rPr>
          <w:rFonts w:ascii="黑体" w:eastAsia="黑体"/>
          <w:sz w:val="48"/>
        </w:rPr>
      </w:pPr>
      <w:r>
        <w:rPr>
          <w:rFonts w:ascii="宋体" w:hAnsi="宋体"/>
          <w:sz w:val="20"/>
        </w:rPr>
        <w:br w:type="page"/>
      </w:r>
      <w:r>
        <w:rPr>
          <w:rFonts w:hint="eastAsia" w:ascii="黑体" w:eastAsia="黑体"/>
          <w:sz w:val="48"/>
        </w:rPr>
        <w:t>目  录</w:t>
      </w:r>
      <w:bookmarkStart w:id="1" w:name="A2"/>
      <w:bookmarkEnd w:id="1"/>
    </w:p>
    <w:p>
      <w:pPr>
        <w:spacing w:line="20" w:lineRule="auto"/>
        <w:jc w:val="center"/>
        <w:rPr>
          <w:rFonts w:hint="eastAsia" w:ascii="宋体" w:hAnsi="宋体"/>
          <w:sz w:val="20"/>
        </w:rPr>
      </w:pPr>
    </w:p>
    <w:p>
      <w:pPr>
        <w:pStyle w:val="4"/>
        <w:tabs>
          <w:tab w:val="right" w:leader="dot" w:pos="14935"/>
        </w:tabs>
        <w:rPr>
          <w:b/>
        </w:rPr>
      </w:pPr>
      <w:r>
        <w:rPr>
          <w:rFonts w:hint="eastAsia"/>
          <w:b/>
        </w:rPr>
        <w:t>汽车行业标准项目计划表</w:t>
      </w:r>
      <w:r>
        <w:rPr>
          <w:b/>
        </w:rPr>
        <w:tab/>
      </w:r>
      <w:r>
        <w:rPr>
          <w:b/>
        </w:rPr>
        <w:t>4</w:t>
      </w:r>
    </w:p>
    <w:p>
      <w:pPr>
        <w:pStyle w:val="4"/>
        <w:tabs>
          <w:tab w:val="right" w:leader="dot" w:pos="14935"/>
        </w:tabs>
        <w:ind w:firstLine="420" w:firstLineChars="200"/>
      </w:pPr>
      <w:r>
        <w:rPr>
          <w:rFonts w:hint="eastAsia"/>
        </w:rPr>
        <w:t>车联网</w:t>
      </w:r>
      <w:r>
        <w:rPr>
          <w:rFonts w:hint="eastAsia"/>
          <w:lang w:eastAsia="zh-CN"/>
        </w:rPr>
        <w:t>（智能网联汽车）</w:t>
      </w:r>
      <w:r>
        <w:tab/>
      </w:r>
      <w:r>
        <w:t>4</w:t>
      </w:r>
    </w:p>
    <w:p>
      <w:pPr>
        <w:spacing w:line="20" w:lineRule="auto"/>
        <w:jc w:val="center"/>
        <w:rPr>
          <w:rFonts w:ascii="宋体" w:hAnsi="宋体"/>
          <w:sz w:val="20"/>
        </w:rPr>
        <w:sectPr>
          <w:footerReference r:id="rId4" w:type="first"/>
          <w:footerReference r:id="rId3" w:type="default"/>
          <w:pgSz w:w="16838" w:h="11906" w:orient="landscape"/>
          <w:pgMar w:top="873" w:right="663" w:bottom="873" w:left="1230" w:header="851" w:footer="992" w:gutter="0"/>
          <w:cols w:space="425" w:num="1"/>
          <w:docGrid w:type="lines" w:linePitch="312" w:charSpace="0"/>
        </w:sectPr>
      </w:pPr>
      <w:r>
        <w:rPr>
          <w:rFonts w:ascii="宋体" w:hAnsi="宋体"/>
          <w:sz w:val="20"/>
        </w:rPr>
        <w:fldChar w:fldCharType="begin"/>
      </w:r>
      <w:r>
        <w:rPr>
          <w:rFonts w:ascii="宋体" w:hAnsi="宋体"/>
          <w:sz w:val="20"/>
        </w:rPr>
        <w:instrText xml:space="preserve"> INDEX \e "</w:instrText>
      </w:r>
      <w:r>
        <w:rPr>
          <w:rFonts w:ascii="宋体" w:hAnsi="宋体"/>
          <w:sz w:val="20"/>
        </w:rPr>
        <w:tab/>
      </w:r>
      <w:r>
        <w:rPr>
          <w:rFonts w:ascii="宋体" w:hAnsi="宋体"/>
          <w:sz w:val="20"/>
        </w:rPr>
        <w:instrText xml:space="preserve">" \y \o "P" \c "1" \z "2052" </w:instrText>
      </w:r>
      <w:r>
        <w:rPr>
          <w:rFonts w:ascii="宋体" w:hAnsi="宋体"/>
          <w:sz w:val="20"/>
        </w:rPr>
        <w:fldChar w:fldCharType="separate"/>
      </w:r>
    </w:p>
    <w:p>
      <w:pPr>
        <w:pStyle w:val="4"/>
        <w:tabs>
          <w:tab w:val="right" w:leader="dot" w:pos="14935"/>
        </w:tabs>
        <w:rPr>
          <w:rFonts w:hint="eastAsia" w:eastAsia="宋体"/>
          <w:b/>
          <w:lang w:eastAsia="zh-CN"/>
        </w:rPr>
      </w:pPr>
      <w:r>
        <w:rPr>
          <w:rFonts w:hint="eastAsia"/>
          <w:b/>
        </w:rPr>
        <w:t>通信行业标准项目计划表</w:t>
      </w:r>
      <w:r>
        <w:rPr>
          <w:b/>
        </w:rPr>
        <w:tab/>
      </w:r>
      <w:r>
        <w:rPr>
          <w:rFonts w:hint="eastAsia"/>
          <w:b/>
          <w:lang w:val="en-US" w:eastAsia="zh-CN"/>
        </w:rPr>
        <w:t>6</w:t>
      </w:r>
    </w:p>
    <w:p>
      <w:pPr>
        <w:pStyle w:val="4"/>
        <w:tabs>
          <w:tab w:val="right" w:leader="dot" w:pos="14935"/>
        </w:tabs>
        <w:ind w:firstLine="420" w:firstLineChars="200"/>
        <w:rPr>
          <w:rFonts w:hint="eastAsia" w:eastAsia="宋体"/>
          <w:lang w:val="en-US" w:eastAsia="zh-CN"/>
        </w:rPr>
      </w:pPr>
      <w:r>
        <w:rPr>
          <w:rFonts w:hint="eastAsia"/>
        </w:rPr>
        <w:t>车联网</w:t>
      </w:r>
      <w:r>
        <w:rPr>
          <w:rFonts w:hint="eastAsia"/>
          <w:lang w:eastAsia="zh-CN"/>
        </w:rPr>
        <w:t>（智能网联汽车）</w:t>
      </w:r>
      <w:r>
        <w:tab/>
      </w:r>
      <w:r>
        <w:rPr>
          <w:rFonts w:hint="eastAsia"/>
          <w:lang w:val="en-US" w:eastAsia="zh-CN"/>
        </w:rPr>
        <w:t>6</w:t>
      </w:r>
    </w:p>
    <w:p>
      <w:pPr>
        <w:spacing w:line="20" w:lineRule="auto"/>
        <w:jc w:val="center"/>
        <w:rPr>
          <w:rFonts w:ascii="宋体" w:hAnsi="宋体"/>
          <w:sz w:val="20"/>
        </w:rPr>
        <w:sectPr>
          <w:type w:val="continuous"/>
          <w:pgSz w:w="16838" w:h="11906" w:orient="landscape"/>
          <w:pgMar w:top="873" w:right="663" w:bottom="873" w:left="1230" w:header="851" w:footer="992" w:gutter="0"/>
          <w:cols w:space="720" w:num="1"/>
          <w:titlePg/>
          <w:docGrid w:type="lines" w:linePitch="312" w:charSpace="0"/>
        </w:sectPr>
      </w:pPr>
    </w:p>
    <w:p>
      <w:pPr>
        <w:spacing w:line="20" w:lineRule="auto"/>
        <w:jc w:val="center"/>
        <w:rPr>
          <w:rFonts w:ascii="宋体" w:hAnsi="宋体"/>
          <w:sz w:val="20"/>
        </w:rPr>
      </w:pPr>
      <w:r>
        <w:rPr>
          <w:rFonts w:ascii="宋体" w:hAnsi="宋体"/>
          <w:sz w:val="20"/>
        </w:rPr>
        <w:fldChar w:fldCharType="end"/>
      </w:r>
    </w:p>
    <w:p>
      <w:pPr>
        <w:spacing w:line="20" w:lineRule="auto"/>
        <w:jc w:val="center"/>
        <w:rPr>
          <w:rFonts w:ascii="宋体" w:hAnsi="宋体"/>
          <w:sz w:val="20"/>
        </w:rPr>
      </w:pPr>
      <w:r>
        <w:rPr>
          <w:rFonts w:ascii="宋体" w:hAnsi="宋体"/>
          <w:sz w:val="20"/>
        </w:rPr>
        <w:br w:type="page"/>
      </w:r>
    </w:p>
    <w:tbl>
      <w:tblPr>
        <w:tblStyle w:val="5"/>
        <w:tblW w:w="1516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0"/>
        <w:gridCol w:w="1725"/>
        <w:gridCol w:w="2508"/>
        <w:gridCol w:w="588"/>
        <w:gridCol w:w="588"/>
        <w:gridCol w:w="1140"/>
        <w:gridCol w:w="1140"/>
        <w:gridCol w:w="588"/>
        <w:gridCol w:w="1377"/>
        <w:gridCol w:w="2086"/>
        <w:gridCol w:w="2244"/>
        <w:gridCol w:w="6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15161" w:type="dxa"/>
            <w:gridSpan w:val="1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</w:tcPr>
          <w:p>
            <w:pPr>
              <w:spacing w:line="20" w:lineRule="auto"/>
              <w:jc w:val="center"/>
              <w:rPr>
                <w:rFonts w:ascii="黑体" w:hAnsi="宋体" w:eastAsia="黑体"/>
                <w:sz w:val="32"/>
              </w:rPr>
            </w:pPr>
            <w:r>
              <w:rPr>
                <w:rFonts w:ascii="黑体" w:hAnsi="宋体" w:eastAsia="黑体"/>
                <w:sz w:val="32"/>
              </w:rPr>
              <w:t>2019汽车行业标准项目计划表</w:t>
            </w:r>
            <w:r>
              <w:rPr>
                <w:rFonts w:ascii="黑体" w:hAnsi="宋体" w:eastAsia="黑体"/>
                <w:sz w:val="32"/>
              </w:rPr>
              <w:fldChar w:fldCharType="begin"/>
            </w:r>
            <w:r>
              <w:instrText xml:space="preserve"> XE "</w:instrText>
            </w:r>
            <w:r>
              <w:rPr>
                <w:rFonts w:hint="eastAsia"/>
              </w:rPr>
              <w:instrText xml:space="preserve">汽车行业标准项目计划表</w:instrText>
            </w:r>
            <w:r>
              <w:instrText xml:space="preserve">" \\y "100000" \\b </w:instrText>
            </w:r>
            <w:r>
              <w:rPr>
                <w:rFonts w:ascii="黑体" w:hAnsi="宋体" w:eastAsia="黑体"/>
                <w:sz w:val="32"/>
              </w:rPr>
              <w:fldChar w:fldCharType="end"/>
            </w:r>
          </w:p>
          <w:p>
            <w:pPr>
              <w:spacing w:line="20" w:lineRule="auto"/>
              <w:rPr>
                <w:rFonts w:ascii="黑体" w:hAnsi="宋体" w:eastAsia="黑体"/>
                <w:sz w:val="32"/>
              </w:rPr>
            </w:pPr>
            <w:r>
              <w:rPr>
                <w:rFonts w:ascii="宋体" w:hAnsi="宋体"/>
                <w:sz w:val="20"/>
              </w:rPr>
              <w:t>车联网</w:t>
            </w:r>
            <w:r>
              <w:rPr>
                <w:rFonts w:hint="eastAsia" w:ascii="宋体" w:hAnsi="宋体"/>
                <w:sz w:val="20"/>
              </w:rPr>
              <w:t>（智能网联汽车）</w:t>
            </w:r>
            <w:r>
              <w:rPr>
                <w:rFonts w:ascii="黑体" w:hAnsi="宋体" w:eastAsia="黑体"/>
                <w:sz w:val="32"/>
              </w:rPr>
              <w:fldChar w:fldCharType="begin"/>
            </w:r>
            <w:r>
              <w:instrText xml:space="preserve"> XE "</w:instrText>
            </w:r>
            <w:r>
              <w:rPr>
                <w:rFonts w:hint="eastAsia"/>
              </w:rPr>
              <w:instrText xml:space="preserve">车联网</w:instrText>
            </w:r>
            <w:r>
              <w:instrText xml:space="preserve">" \y "100001" </w:instrText>
            </w:r>
            <w:r>
              <w:rPr>
                <w:rFonts w:ascii="黑体" w:hAnsi="宋体" w:eastAsia="黑体"/>
                <w:sz w:val="32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tblHeader/>
          <w:jc w:val="center"/>
        </w:trPr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序号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申报号</w:t>
            </w:r>
          </w:p>
        </w:tc>
        <w:tc>
          <w:tcPr>
            <w:tcW w:w="2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性质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制修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订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代替标准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采标情况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完成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年限</w:t>
            </w: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部内主管司局</w:t>
            </w:r>
          </w:p>
        </w:tc>
        <w:tc>
          <w:tcPr>
            <w:tcW w:w="2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技术委员会或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技术归口单位</w:t>
            </w:r>
          </w:p>
        </w:tc>
        <w:tc>
          <w:tcPr>
            <w:tcW w:w="2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主要起草单位</w:t>
            </w:r>
          </w:p>
        </w:tc>
        <w:tc>
          <w:tcPr>
            <w:tcW w:w="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725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 HYPERLINK "http://219.239.107.155:8080/TaskBook.aspx?id=GQCCPZT00782019"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GQCCPZT0078-2019</w:t>
            </w:r>
            <w:r>
              <w:rPr>
                <w:rFonts w:ascii="宋体" w:hAnsi="宋体"/>
                <w:sz w:val="18"/>
              </w:rPr>
              <w:fldChar w:fldCharType="end"/>
            </w:r>
          </w:p>
        </w:tc>
        <w:tc>
          <w:tcPr>
            <w:tcW w:w="2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商用车辆车道保持辅助系统性能要求及试验方法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装备工业司</w:t>
            </w:r>
          </w:p>
        </w:tc>
        <w:tc>
          <w:tcPr>
            <w:tcW w:w="2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全国汽车标准化技术委员会</w:t>
            </w:r>
          </w:p>
        </w:tc>
        <w:tc>
          <w:tcPr>
            <w:tcW w:w="2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东风商用车有限公司东风商用车技术中心等</w:t>
            </w:r>
          </w:p>
        </w:tc>
        <w:tc>
          <w:tcPr>
            <w:tcW w:w="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725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 HYPERLINK "http://219.239.107.155:8080/TaskBook.aspx?id=GQCCPZT00792019"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GQCCPZT0079-2019</w:t>
            </w:r>
            <w:r>
              <w:rPr>
                <w:rFonts w:ascii="宋体" w:hAnsi="宋体"/>
                <w:sz w:val="18"/>
              </w:rPr>
              <w:fldChar w:fldCharType="end"/>
            </w:r>
          </w:p>
        </w:tc>
        <w:tc>
          <w:tcPr>
            <w:tcW w:w="2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驾驶员注意力监测系统性能要求及试验方法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装备工业司</w:t>
            </w:r>
          </w:p>
        </w:tc>
        <w:tc>
          <w:tcPr>
            <w:tcW w:w="2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全国汽车标准化技术委员会</w:t>
            </w:r>
          </w:p>
        </w:tc>
        <w:tc>
          <w:tcPr>
            <w:tcW w:w="2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东风商用车有限公司等</w:t>
            </w:r>
          </w:p>
        </w:tc>
        <w:tc>
          <w:tcPr>
            <w:tcW w:w="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725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 HYPERLINK "http://219.239.107.155:8080/TaskBook.aspx?id=GQCCPZT00802019"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GQCCPZT0080-2019</w:t>
            </w:r>
            <w:r>
              <w:rPr>
                <w:rFonts w:ascii="宋体" w:hAnsi="宋体"/>
                <w:sz w:val="18"/>
              </w:rPr>
              <w:fldChar w:fldCharType="end"/>
            </w:r>
          </w:p>
        </w:tc>
        <w:tc>
          <w:tcPr>
            <w:tcW w:w="2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乘用车后部交通穿行提示系统性能要求及试验方法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装备工业司</w:t>
            </w:r>
          </w:p>
        </w:tc>
        <w:tc>
          <w:tcPr>
            <w:tcW w:w="2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全国汽车标准化技术委员会</w:t>
            </w:r>
          </w:p>
        </w:tc>
        <w:tc>
          <w:tcPr>
            <w:tcW w:w="2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中国第一汽车股份有限公司等</w:t>
            </w:r>
          </w:p>
        </w:tc>
        <w:tc>
          <w:tcPr>
            <w:tcW w:w="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725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 HYPERLINK "http://219.239.107.155:8080/TaskBook.aspx?id=GQCCPZT00812019"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GQCCPZT0081-2019</w:t>
            </w:r>
            <w:r>
              <w:rPr>
                <w:rFonts w:ascii="宋体" w:hAnsi="宋体"/>
                <w:sz w:val="18"/>
              </w:rPr>
              <w:fldChar w:fldCharType="end"/>
            </w:r>
          </w:p>
        </w:tc>
        <w:tc>
          <w:tcPr>
            <w:tcW w:w="2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乘用车车门开启预警系统性能要求及试验方法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装备工业司</w:t>
            </w:r>
          </w:p>
        </w:tc>
        <w:tc>
          <w:tcPr>
            <w:tcW w:w="2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全国汽车标准化技术委员会</w:t>
            </w:r>
          </w:p>
        </w:tc>
        <w:tc>
          <w:tcPr>
            <w:tcW w:w="2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吉利汽车研究院有限公司等</w:t>
            </w:r>
          </w:p>
        </w:tc>
        <w:tc>
          <w:tcPr>
            <w:tcW w:w="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725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 HYPERLINK "http://219.239.107.155:8080/TaskBook.aspx?id=GQCCPZT00822019"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GQCCPZT0082-2019</w:t>
            </w:r>
            <w:r>
              <w:rPr>
                <w:rFonts w:ascii="宋体" w:hAnsi="宋体"/>
                <w:sz w:val="18"/>
              </w:rPr>
              <w:fldChar w:fldCharType="end"/>
            </w:r>
          </w:p>
        </w:tc>
        <w:tc>
          <w:tcPr>
            <w:tcW w:w="2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乘用车夜视系统性能要求与试验方法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装备工业司</w:t>
            </w:r>
          </w:p>
        </w:tc>
        <w:tc>
          <w:tcPr>
            <w:tcW w:w="2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全国汽车标准化技术委员会</w:t>
            </w:r>
          </w:p>
        </w:tc>
        <w:tc>
          <w:tcPr>
            <w:tcW w:w="2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中国第一汽车股份有限公司等</w:t>
            </w:r>
          </w:p>
        </w:tc>
        <w:tc>
          <w:tcPr>
            <w:tcW w:w="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725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 HYPERLINK "http://219.239.107.155:8080/TaskBook.aspx?id=GQCCPZT00832019"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GQCCPZT0083-2019</w:t>
            </w:r>
            <w:r>
              <w:rPr>
                <w:rFonts w:ascii="宋体" w:hAnsi="宋体"/>
                <w:sz w:val="18"/>
              </w:rPr>
              <w:fldChar w:fldCharType="end"/>
            </w:r>
          </w:p>
        </w:tc>
        <w:tc>
          <w:tcPr>
            <w:tcW w:w="2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汽车智能限速系统性能要求及试验方法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装备工业司</w:t>
            </w:r>
          </w:p>
        </w:tc>
        <w:tc>
          <w:tcPr>
            <w:tcW w:w="2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全国汽车标准化技术委员会</w:t>
            </w:r>
          </w:p>
        </w:tc>
        <w:tc>
          <w:tcPr>
            <w:tcW w:w="2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东风汽车集团有限公司技术中心等</w:t>
            </w:r>
          </w:p>
        </w:tc>
        <w:tc>
          <w:tcPr>
            <w:tcW w:w="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725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 HYPERLINK "http://219.239.107.155:8080/TaskBook.aspx?id=GQCCPZT00842019"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GQCCPZT0084-2019</w:t>
            </w:r>
            <w:r>
              <w:rPr>
                <w:rFonts w:ascii="宋体" w:hAnsi="宋体"/>
                <w:sz w:val="18"/>
              </w:rPr>
              <w:fldChar w:fldCharType="end"/>
            </w:r>
          </w:p>
        </w:tc>
        <w:tc>
          <w:tcPr>
            <w:tcW w:w="2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先进驾驶辅助系统提示信息优先度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装备工业司</w:t>
            </w:r>
          </w:p>
        </w:tc>
        <w:tc>
          <w:tcPr>
            <w:tcW w:w="2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全国汽车标准化技术委员会</w:t>
            </w:r>
          </w:p>
        </w:tc>
        <w:tc>
          <w:tcPr>
            <w:tcW w:w="2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中国汽车技术研究中心有限公司等</w:t>
            </w:r>
          </w:p>
        </w:tc>
        <w:tc>
          <w:tcPr>
            <w:tcW w:w="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725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 HYPERLINK "http://219.239.107.155:8080/TaskBook.aspx?id=GQCCPZT00852019"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GQCCPZT0085-2019</w:t>
            </w:r>
            <w:r>
              <w:rPr>
                <w:rFonts w:ascii="宋体" w:hAnsi="宋体"/>
                <w:sz w:val="18"/>
              </w:rPr>
              <w:fldChar w:fldCharType="end"/>
            </w:r>
          </w:p>
        </w:tc>
        <w:tc>
          <w:tcPr>
            <w:tcW w:w="2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汽车全景影像监测系统性能要求及试验方法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装备工业司</w:t>
            </w:r>
          </w:p>
        </w:tc>
        <w:tc>
          <w:tcPr>
            <w:tcW w:w="2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全国汽车标准化技术委员会</w:t>
            </w:r>
          </w:p>
        </w:tc>
        <w:tc>
          <w:tcPr>
            <w:tcW w:w="2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安徽江淮汽车集团股份有限公司等</w:t>
            </w:r>
          </w:p>
        </w:tc>
        <w:tc>
          <w:tcPr>
            <w:tcW w:w="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725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 HYPERLINK "http://219.239.107.155:8080/TaskBook.aspx?id=GQCCPZT00862019"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GQCCPZT0086-2019</w:t>
            </w:r>
            <w:r>
              <w:rPr>
                <w:rFonts w:ascii="宋体" w:hAnsi="宋体"/>
                <w:sz w:val="18"/>
              </w:rPr>
              <w:fldChar w:fldCharType="end"/>
            </w:r>
          </w:p>
        </w:tc>
        <w:tc>
          <w:tcPr>
            <w:tcW w:w="2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汽车软件升级技术要求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装备工业司</w:t>
            </w:r>
          </w:p>
        </w:tc>
        <w:tc>
          <w:tcPr>
            <w:tcW w:w="2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全国汽车标准化技术委员会</w:t>
            </w:r>
          </w:p>
        </w:tc>
        <w:tc>
          <w:tcPr>
            <w:tcW w:w="2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中国汽车技术研究中心有限公司等</w:t>
            </w:r>
          </w:p>
        </w:tc>
        <w:tc>
          <w:tcPr>
            <w:tcW w:w="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725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 HYPERLINK "http://219.239.107.155:8080/TaskBook.aspx?id=GQCCPZT00872019"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GQCCPZT0087-2019</w:t>
            </w:r>
            <w:r>
              <w:rPr>
                <w:rFonts w:ascii="宋体" w:hAnsi="宋体"/>
                <w:sz w:val="18"/>
              </w:rPr>
              <w:fldChar w:fldCharType="end"/>
            </w:r>
          </w:p>
        </w:tc>
        <w:tc>
          <w:tcPr>
            <w:tcW w:w="2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智能网联汽车 自动驾驶功能测试方法及要求 第1部分：通用功能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装备工业司</w:t>
            </w:r>
          </w:p>
        </w:tc>
        <w:tc>
          <w:tcPr>
            <w:tcW w:w="2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全国汽车标准化技术委员会</w:t>
            </w:r>
          </w:p>
        </w:tc>
        <w:tc>
          <w:tcPr>
            <w:tcW w:w="2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中国汽车技术研究中心有限公司等</w:t>
            </w:r>
          </w:p>
        </w:tc>
        <w:tc>
          <w:tcPr>
            <w:tcW w:w="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725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 HYPERLINK "http://219.239.107.155:8080/TaskBook.aspx?id=GQCCPZT00882019"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GQCCPZT0088-2019</w:t>
            </w:r>
            <w:r>
              <w:rPr>
                <w:rFonts w:ascii="宋体" w:hAnsi="宋体"/>
                <w:sz w:val="18"/>
              </w:rPr>
              <w:fldChar w:fldCharType="end"/>
            </w:r>
          </w:p>
        </w:tc>
        <w:tc>
          <w:tcPr>
            <w:tcW w:w="2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智能网联汽车 自动驾驶功能测试方法及要求 第2部分：城区行驶功能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装备工业司</w:t>
            </w:r>
          </w:p>
        </w:tc>
        <w:tc>
          <w:tcPr>
            <w:tcW w:w="2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全国汽车标准化技术委员会</w:t>
            </w:r>
          </w:p>
        </w:tc>
        <w:tc>
          <w:tcPr>
            <w:tcW w:w="2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中国汽车技术研究中心有限公司等</w:t>
            </w:r>
          </w:p>
        </w:tc>
        <w:tc>
          <w:tcPr>
            <w:tcW w:w="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725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 HYPERLINK "http://219.239.107.155:8080/TaskBook.aspx?id=GQCCPZT00892019"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GQCCPZT0089-2019</w:t>
            </w:r>
            <w:r>
              <w:rPr>
                <w:rFonts w:ascii="宋体" w:hAnsi="宋体"/>
                <w:sz w:val="18"/>
              </w:rPr>
              <w:fldChar w:fldCharType="end"/>
            </w:r>
          </w:p>
        </w:tc>
        <w:tc>
          <w:tcPr>
            <w:tcW w:w="2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智能网联汽车 自动驾驶功能测试方法及要求 第3部分：列队跟驰功能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装备工业司</w:t>
            </w:r>
          </w:p>
        </w:tc>
        <w:tc>
          <w:tcPr>
            <w:tcW w:w="2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全国汽车标准化技术委员会</w:t>
            </w:r>
          </w:p>
        </w:tc>
        <w:tc>
          <w:tcPr>
            <w:tcW w:w="2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中国汽车技术研究中心有限公司等</w:t>
            </w:r>
          </w:p>
        </w:tc>
        <w:tc>
          <w:tcPr>
            <w:tcW w:w="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725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 HYPERLINK "http://219.239.107.155:8080/TaskBook.aspx?id=GQCCPZT00902019"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GQCCPZT0090-2019</w:t>
            </w:r>
            <w:r>
              <w:rPr>
                <w:rFonts w:ascii="宋体" w:hAnsi="宋体"/>
                <w:sz w:val="18"/>
              </w:rPr>
              <w:fldChar w:fldCharType="end"/>
            </w:r>
          </w:p>
        </w:tc>
        <w:tc>
          <w:tcPr>
            <w:tcW w:w="2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道路车辆 网联车辆方法论 第1部分：通用信息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ISO 20077-1-2017，IDT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装备工业司</w:t>
            </w:r>
          </w:p>
        </w:tc>
        <w:tc>
          <w:tcPr>
            <w:tcW w:w="2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全国汽车标准化技术委员会</w:t>
            </w:r>
          </w:p>
        </w:tc>
        <w:tc>
          <w:tcPr>
            <w:tcW w:w="2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中国汽车技术研究中心有限公司等</w:t>
            </w:r>
          </w:p>
        </w:tc>
        <w:tc>
          <w:tcPr>
            <w:tcW w:w="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725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 HYPERLINK "http://219.239.107.155:8080/TaskBook.aspx?id=GQCCPZT00912019"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GQCCPZT0091-2019</w:t>
            </w:r>
            <w:r>
              <w:rPr>
                <w:rFonts w:ascii="宋体" w:hAnsi="宋体"/>
                <w:sz w:val="18"/>
              </w:rPr>
              <w:fldChar w:fldCharType="end"/>
            </w:r>
          </w:p>
        </w:tc>
        <w:tc>
          <w:tcPr>
            <w:tcW w:w="2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道路车辆 网联车辆方法论 第2部分：网联车辆设计导则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ISO 20077-2-2018，IDT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装备工业司</w:t>
            </w:r>
          </w:p>
        </w:tc>
        <w:tc>
          <w:tcPr>
            <w:tcW w:w="2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全国汽车标准化技术委员会</w:t>
            </w:r>
          </w:p>
        </w:tc>
        <w:tc>
          <w:tcPr>
            <w:tcW w:w="2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中国汽车技术研究中心有限公司等</w:t>
            </w:r>
          </w:p>
        </w:tc>
        <w:tc>
          <w:tcPr>
            <w:tcW w:w="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725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 HYPERLINK "http://219.239.107.155:8080/TaskBook.aspx?id=GQCCPZT00922019"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GQCCPZT0092-2019</w:t>
            </w:r>
            <w:r>
              <w:rPr>
                <w:rFonts w:ascii="宋体" w:hAnsi="宋体"/>
                <w:sz w:val="18"/>
              </w:rPr>
              <w:fldChar w:fldCharType="end"/>
            </w:r>
          </w:p>
        </w:tc>
        <w:tc>
          <w:tcPr>
            <w:tcW w:w="2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汽车全速自适应巡航控制系统性能要求及试验方法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2021</w:t>
            </w: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装备工业司</w:t>
            </w:r>
          </w:p>
        </w:tc>
        <w:tc>
          <w:tcPr>
            <w:tcW w:w="2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全国汽车标准化技术委员会</w:t>
            </w:r>
          </w:p>
        </w:tc>
        <w:tc>
          <w:tcPr>
            <w:tcW w:w="2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吉利汽车有限公司、一汽解放汽车有限公司、中国汽车技术研究中心有限公司</w:t>
            </w:r>
          </w:p>
        </w:tc>
        <w:tc>
          <w:tcPr>
            <w:tcW w:w="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725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 HYPERLINK "http://219.239.107.155:8080/TaskBook.aspx?id=GQCCPZT00932019"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GQCCPZT0093-2019</w:t>
            </w:r>
            <w:r>
              <w:rPr>
                <w:rFonts w:ascii="宋体" w:hAnsi="宋体"/>
                <w:sz w:val="18"/>
              </w:rPr>
              <w:fldChar w:fldCharType="end"/>
            </w:r>
          </w:p>
        </w:tc>
        <w:tc>
          <w:tcPr>
            <w:tcW w:w="2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智能网联汽车术语和定义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2021</w:t>
            </w: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装备工业司</w:t>
            </w:r>
          </w:p>
        </w:tc>
        <w:tc>
          <w:tcPr>
            <w:tcW w:w="2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全国汽车标准化技术委员会</w:t>
            </w:r>
          </w:p>
        </w:tc>
        <w:tc>
          <w:tcPr>
            <w:tcW w:w="2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重庆长安汽车股份有限公司、中国汽车技术研究中心有限公司等</w:t>
            </w:r>
          </w:p>
        </w:tc>
        <w:tc>
          <w:tcPr>
            <w:tcW w:w="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725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 HYPERLINK "http://219.239.107.155:8080/TaskBook.aspx?id=GQCCPZT00942019"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GQCCPZT0094-2019</w:t>
            </w:r>
            <w:r>
              <w:rPr>
                <w:rFonts w:ascii="宋体" w:hAnsi="宋体"/>
                <w:sz w:val="18"/>
              </w:rPr>
              <w:fldChar w:fldCharType="end"/>
            </w:r>
          </w:p>
        </w:tc>
        <w:tc>
          <w:tcPr>
            <w:tcW w:w="2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智能网联汽车操纵件、指示器及信号装置的标志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2021</w:t>
            </w: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装备工业司</w:t>
            </w:r>
          </w:p>
        </w:tc>
        <w:tc>
          <w:tcPr>
            <w:tcW w:w="2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全国汽车标准化技术委员会</w:t>
            </w:r>
          </w:p>
        </w:tc>
        <w:tc>
          <w:tcPr>
            <w:tcW w:w="2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东风汽车集团有限公司技术中心、中国汽车技术研究中心有限公司等</w:t>
            </w:r>
          </w:p>
        </w:tc>
        <w:tc>
          <w:tcPr>
            <w:tcW w:w="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725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 HYPERLINK "http://219.239.107.155:8080/TaskBook.aspx?id=GQCCPZT00952019"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GQCCPZT0095-2019</w:t>
            </w:r>
            <w:r>
              <w:rPr>
                <w:rFonts w:ascii="宋体" w:hAnsi="宋体"/>
                <w:sz w:val="18"/>
              </w:rPr>
              <w:fldChar w:fldCharType="end"/>
            </w:r>
          </w:p>
        </w:tc>
        <w:tc>
          <w:tcPr>
            <w:tcW w:w="2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基于LTE-V2X技术的车载信息交互系统通信技术要求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2021</w:t>
            </w: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装备工业司</w:t>
            </w:r>
          </w:p>
        </w:tc>
        <w:tc>
          <w:tcPr>
            <w:tcW w:w="2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全国汽车标准化技术委员会</w:t>
            </w:r>
          </w:p>
        </w:tc>
        <w:tc>
          <w:tcPr>
            <w:tcW w:w="2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中国汽车技术研究中心有限公司、中国信息通信研究院</w:t>
            </w:r>
          </w:p>
        </w:tc>
        <w:tc>
          <w:tcPr>
            <w:tcW w:w="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</w:tbl>
    <w:p>
      <w:r>
        <w:br w:type="page"/>
      </w:r>
    </w:p>
    <w:tbl>
      <w:tblPr>
        <w:tblStyle w:val="5"/>
        <w:tblW w:w="1516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0"/>
        <w:gridCol w:w="1725"/>
        <w:gridCol w:w="2508"/>
        <w:gridCol w:w="588"/>
        <w:gridCol w:w="588"/>
        <w:gridCol w:w="1140"/>
        <w:gridCol w:w="1140"/>
        <w:gridCol w:w="588"/>
        <w:gridCol w:w="1377"/>
        <w:gridCol w:w="2086"/>
        <w:gridCol w:w="2244"/>
        <w:gridCol w:w="6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15161" w:type="dxa"/>
            <w:gridSpan w:val="1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</w:tcPr>
          <w:p>
            <w:pPr>
              <w:spacing w:line="20" w:lineRule="auto"/>
              <w:jc w:val="center"/>
              <w:rPr>
                <w:rFonts w:ascii="黑体" w:hAnsi="宋体" w:eastAsia="黑体"/>
                <w:sz w:val="32"/>
              </w:rPr>
            </w:pPr>
            <w:r>
              <w:rPr>
                <w:rFonts w:ascii="黑体" w:hAnsi="宋体" w:eastAsia="黑体"/>
                <w:sz w:val="32"/>
              </w:rPr>
              <w:t>2019</w:t>
            </w:r>
            <w:r>
              <w:rPr>
                <w:rFonts w:hint="eastAsia" w:ascii="黑体" w:hAnsi="宋体" w:eastAsia="黑体"/>
                <w:sz w:val="32"/>
              </w:rPr>
              <w:t>年</w:t>
            </w:r>
            <w:r>
              <w:rPr>
                <w:rFonts w:ascii="黑体" w:hAnsi="宋体" w:eastAsia="黑体"/>
                <w:sz w:val="32"/>
              </w:rPr>
              <w:t>通信行业标准项目计划表</w:t>
            </w:r>
            <w:r>
              <w:rPr>
                <w:rFonts w:ascii="黑体" w:hAnsi="宋体" w:eastAsia="黑体"/>
                <w:sz w:val="32"/>
              </w:rPr>
              <w:fldChar w:fldCharType="begin"/>
            </w:r>
            <w:r>
              <w:instrText xml:space="preserve"> XE "</w:instrText>
            </w:r>
            <w:r>
              <w:rPr>
                <w:rFonts w:hint="eastAsia"/>
              </w:rPr>
              <w:instrText xml:space="preserve">通信行业标准项目计划表</w:instrText>
            </w:r>
            <w:r>
              <w:instrText xml:space="preserve">" \\y "100000" \\b </w:instrText>
            </w:r>
            <w:r>
              <w:rPr>
                <w:rFonts w:ascii="黑体" w:hAnsi="宋体" w:eastAsia="黑体"/>
                <w:sz w:val="32"/>
              </w:rPr>
              <w:fldChar w:fldCharType="end"/>
            </w:r>
          </w:p>
          <w:p>
            <w:pPr>
              <w:spacing w:line="20" w:lineRule="auto"/>
              <w:rPr>
                <w:rFonts w:ascii="黑体" w:hAnsi="宋体" w:eastAsia="黑体"/>
                <w:sz w:val="32"/>
              </w:rPr>
            </w:pPr>
            <w:r>
              <w:rPr>
                <w:rFonts w:ascii="宋体" w:hAnsi="宋体"/>
                <w:sz w:val="20"/>
              </w:rPr>
              <w:t>车联网</w:t>
            </w:r>
            <w:r>
              <w:rPr>
                <w:rFonts w:hint="eastAsia" w:ascii="宋体" w:hAnsi="宋体"/>
                <w:sz w:val="20"/>
              </w:rPr>
              <w:t>（智能网联汽车）</w:t>
            </w:r>
            <w:bookmarkStart w:id="2" w:name="_GoBack"/>
            <w:bookmarkEnd w:id="2"/>
            <w:r>
              <w:rPr>
                <w:rFonts w:ascii="黑体" w:hAnsi="宋体" w:eastAsia="黑体"/>
                <w:sz w:val="32"/>
              </w:rPr>
              <w:fldChar w:fldCharType="begin"/>
            </w:r>
            <w:r>
              <w:instrText xml:space="preserve"> XE "</w:instrText>
            </w:r>
            <w:r>
              <w:rPr>
                <w:rFonts w:hint="eastAsia"/>
              </w:rPr>
              <w:instrText xml:space="preserve">车联网</w:instrText>
            </w:r>
            <w:r>
              <w:instrText xml:space="preserve">" \y "100001" </w:instrText>
            </w:r>
            <w:r>
              <w:rPr>
                <w:rFonts w:ascii="黑体" w:hAnsi="宋体" w:eastAsia="黑体"/>
                <w:sz w:val="32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tblHeader/>
          <w:jc w:val="center"/>
        </w:trPr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序号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申报号</w:t>
            </w:r>
          </w:p>
        </w:tc>
        <w:tc>
          <w:tcPr>
            <w:tcW w:w="2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性质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制修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订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代替标准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采标情况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完成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年限</w:t>
            </w: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部内主管司局</w:t>
            </w:r>
          </w:p>
        </w:tc>
        <w:tc>
          <w:tcPr>
            <w:tcW w:w="2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技术委员会或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技术归口单位</w:t>
            </w:r>
          </w:p>
        </w:tc>
        <w:tc>
          <w:tcPr>
            <w:tcW w:w="2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主要起草单位</w:t>
            </w:r>
          </w:p>
        </w:tc>
        <w:tc>
          <w:tcPr>
            <w:tcW w:w="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725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 HYPERLINK "http://219.239.107.155:8080/TaskBook.aspx?id=GYDCPZT00772019"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GYDCPZT0077-2019</w:t>
            </w:r>
            <w:r>
              <w:rPr>
                <w:rFonts w:ascii="宋体" w:hAnsi="宋体"/>
                <w:sz w:val="18"/>
              </w:rPr>
              <w:fldChar w:fldCharType="end"/>
            </w:r>
          </w:p>
        </w:tc>
        <w:tc>
          <w:tcPr>
            <w:tcW w:w="2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基于LTE的车联网通信安全技术要求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2022</w:t>
            </w: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网络安全管理局</w:t>
            </w:r>
          </w:p>
        </w:tc>
        <w:tc>
          <w:tcPr>
            <w:tcW w:w="2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全国通信标准化技术委员会</w:t>
            </w:r>
          </w:p>
        </w:tc>
        <w:tc>
          <w:tcPr>
            <w:tcW w:w="2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大唐电信科技产业集团（电信科学技术研究院）、华为技术有限公司、中国信息通信研究院、北京邮电大学、高通无线通信技术(中国)有限公司、 中国移动通信集团有限公司、中国联合网络通信集团有限公司、中兴通讯股份有限公司、上海诺基亚贝尔股份有限公司</w:t>
            </w:r>
          </w:p>
        </w:tc>
        <w:tc>
          <w:tcPr>
            <w:tcW w:w="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</w:tbl>
    <w:p>
      <w:pPr>
        <w:spacing w:line="20" w:lineRule="auto"/>
        <w:jc w:val="both"/>
      </w:pPr>
    </w:p>
    <w:sectPr>
      <w:type w:val="continuous"/>
      <w:pgSz w:w="16838" w:h="11906" w:orient="landscape"/>
      <w:pgMar w:top="873" w:right="663" w:bottom="873" w:left="1230" w:header="851" w:footer="992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>2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wN7nihQCAAAT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>2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2336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JvSDC8VAgAAEwQAAA4AAAAAAAAA&#10;AQAgAAAAHwEAAGRycy9lMm9Eb2MueG1sUEsFBgAAAAAGAAYAWQEAAKY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830098"/>
    <w:multiLevelType w:val="multilevel"/>
    <w:tmpl w:val="50830098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2E3"/>
    <w:rsid w:val="002B1642"/>
    <w:rsid w:val="002D46FF"/>
    <w:rsid w:val="004A1A57"/>
    <w:rsid w:val="009A66E7"/>
    <w:rsid w:val="00AA0EF8"/>
    <w:rsid w:val="00C53395"/>
    <w:rsid w:val="00E3177F"/>
    <w:rsid w:val="00E422E3"/>
    <w:rsid w:val="20A75B64"/>
    <w:rsid w:val="60442C44"/>
    <w:rsid w:val="736D0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qFormat="1" w:unhideWhenUsed="0" w:uiPriority="99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3">
    <w:name w:val="header"/>
    <w:basedOn w:val="1"/>
    <w:link w:val="10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4">
    <w:name w:val="index 1"/>
    <w:basedOn w:val="1"/>
    <w:next w:val="1"/>
    <w:qFormat/>
    <w:uiPriority w:val="99"/>
  </w:style>
  <w:style w:type="table" w:styleId="6">
    <w:name w:val="Table Grid"/>
    <w:basedOn w:val="5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page number"/>
    <w:basedOn w:val="7"/>
    <w:qFormat/>
    <w:uiPriority w:val="0"/>
  </w:style>
  <w:style w:type="character" w:styleId="9">
    <w:name w:val="Hyperlink"/>
    <w:basedOn w:val="7"/>
    <w:qFormat/>
    <w:uiPriority w:val="0"/>
    <w:rPr>
      <w:color w:val="0000FF"/>
      <w:u w:val="single"/>
    </w:rPr>
  </w:style>
  <w:style w:type="character" w:customStyle="1" w:styleId="10">
    <w:name w:val="页眉 Char"/>
    <w:link w:val="3"/>
    <w:uiPriority w:val="0"/>
    <w:rPr>
      <w:sz w:val="18"/>
      <w:szCs w:val="18"/>
    </w:rPr>
  </w:style>
  <w:style w:type="character" w:customStyle="1" w:styleId="11">
    <w:name w:val="页脚 Char"/>
    <w:link w:val="2"/>
    <w:qFormat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C82381B-AD03-486F-8AF9-37D77172C54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111</Words>
  <Characters>636</Characters>
  <Lines>5</Lines>
  <Paragraphs>1</Paragraphs>
  <TotalTime>0</TotalTime>
  <ScaleCrop>false</ScaleCrop>
  <LinksUpToDate>false</LinksUpToDate>
  <CharactersWithSpaces>746</CharactersWithSpaces>
  <Application>WPS Office_11.1.0.8567_F1E327BC-269C-435d-A152-05C5408002CA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2019-03-27T05:55:00Z</dcterms:created>
  <dc:creator>Windows 用户</dc:creator>
  <cp:lastModifiedBy>hunjun</cp:lastModifiedBy>
  <dcterms:modified xsi:type="dcterms:W3CDTF">2019-04-16T08:01:33Z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